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Kwestionariusz dotyczący analizy danych w LBM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425" w:hanging="425"/>
        <w:jc w:val="both"/>
        <w:rPr/>
      </w:pPr>
      <w:r w:rsidDel="00000000" w:rsidR="00000000" w:rsidRPr="00000000">
        <w:rPr>
          <w:rtl w:val="0"/>
        </w:rPr>
        <w:t xml:space="preserve">Przewidywana data przekazania danych do LBM. </w:t>
      </w:r>
      <w:sdt>
        <w:sdtPr>
          <w:id w:val="-1788056957"/>
          <w:tag w:val="goog_rdk_0"/>
        </w:sdtPr>
        <w:sdtContent>
          <w:commentRangeStart w:id="0"/>
        </w:sdtContent>
      </w:sdt>
      <w:r w:rsidDel="00000000" w:rsidR="00000000" w:rsidRPr="00000000">
        <w:rPr>
          <w:b w:val="1"/>
          <w:bCs w:val="1"/>
          <w:color w:val="ff0000"/>
          <w:rtl w:val="0"/>
        </w:rPr>
        <w:t xml:space="preserve">19.02.2024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425" w:hanging="425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Główna hipoteza badawcza/pytanie(a) badawcze oraz hipotezy szczegółowe.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Główna hipoteza/hipotezy badawcze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425" w:hanging="425"/>
        <w:jc w:val="both"/>
        <w:rPr/>
      </w:pPr>
      <w:r w:rsidDel="00000000" w:rsidR="00000000" w:rsidRPr="00000000">
        <w:rPr>
          <w:rtl w:val="0"/>
        </w:rPr>
        <w:t xml:space="preserve">Układ eksperymentalny, w tym: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macierz eksperymentu*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nazwa gatunkowa badanego organizmu,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jaki organizm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pochodzenie materiału - tkanki / linie komórkowe / próbki środowiskowe xxxx,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liczba grup, 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liczba powtórzeń w grupie, </w:t>
      </w:r>
      <w:r w:rsidDel="00000000" w:rsidR="00000000" w:rsidRPr="00000000">
        <w:rPr>
          <w:b w:val="1"/>
          <w:bCs w:val="1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grupy które należy porównać ze sobą, </w:t>
      </w:r>
      <w:r w:rsidDel="00000000" w:rsidR="00000000" w:rsidRPr="00000000">
        <w:rPr>
          <w:color w:val="ff0000"/>
          <w:rtl w:val="0"/>
        </w:rPr>
        <w:t xml:space="preserve">case vs control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czy spodziewany jest tzw. batch effect (np. próbki były procedowane w innym czasie; niektóre z próbek były resekwencjonowane, analizy jakości DNA/RNA wskazywały gorszą jakość niektórych próbek przed sekwencjonowaniem),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NIE/TAK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jc w:val="both"/>
        <w:rPr/>
      </w:pPr>
      <w:r w:rsidDel="00000000" w:rsidR="00000000" w:rsidRPr="00000000">
        <w:rPr>
          <w:rtl w:val="0"/>
        </w:rPr>
        <w:t xml:space="preserve">jaka była zastosowana sekwencja adapterowa do sekwencjonowania (o ile znana)?</w:t>
      </w:r>
    </w:p>
    <w:p w:rsidR="00000000" w:rsidDel="00000000" w:rsidP="00000000" w:rsidRDefault="00000000" w:rsidRPr="00000000" w14:paraId="0000000E">
      <w:pPr>
        <w:ind w:left="1080" w:firstLine="0"/>
        <w:jc w:val="both"/>
        <w:rPr/>
      </w:pPr>
      <w:r w:rsidDel="00000000" w:rsidR="00000000" w:rsidRPr="00000000">
        <w:rPr>
          <w:rtl w:val="0"/>
        </w:rPr>
        <w:t xml:space="preserve">informacje o zastosowanej metodzie sekwencjonowania (technologia np. Illumina, ONT Nanopore, PacBio itd.; długość odczytów; rodzaj odczytów np. pojedyncze, sparowane; zastosowany kit do przygotowania biblioteki). </w:t>
      </w:r>
    </w:p>
    <w:p w:rsidR="00000000" w:rsidDel="00000000" w:rsidP="00000000" w:rsidRDefault="00000000" w:rsidRPr="00000000" w14:paraId="0000000F">
      <w:pPr>
        <w:ind w:left="1080" w:firstLine="0"/>
        <w:jc w:val="both"/>
        <w:rPr>
          <w:b w:val="1"/>
          <w:bCs w:val="1"/>
        </w:rPr>
      </w:pPr>
      <w:sdt>
        <w:sdtPr>
          <w:id w:val="257210649"/>
          <w:tag w:val="goog_rdk_1"/>
        </w:sdtPr>
        <w:sdtContent>
          <w:commentRangeStart w:id="1"/>
        </w:sdtContent>
      </w:sdt>
      <w:r w:rsidDel="00000000" w:rsidR="00000000" w:rsidRPr="00000000">
        <w:rPr>
          <w:b w:val="1"/>
          <w:bCs w:val="1"/>
          <w:rtl w:val="0"/>
        </w:rPr>
        <w:t xml:space="preserve">Type of Read: Paired-end</w:t>
      </w:r>
    </w:p>
    <w:p w:rsidR="00000000" w:rsidDel="00000000" w:rsidP="00000000" w:rsidRDefault="00000000" w:rsidRPr="00000000" w14:paraId="00000010">
      <w:pPr>
        <w:ind w:left="108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Read Length: 151</w:t>
      </w:r>
    </w:p>
    <w:p w:rsidR="00000000" w:rsidDel="00000000" w:rsidP="00000000" w:rsidRDefault="00000000" w:rsidRPr="00000000" w14:paraId="00000011">
      <w:pPr>
        <w:ind w:left="108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Library Kit: TruSeq Stranded mRNA LT Sample Prep Kit</w:t>
      </w:r>
    </w:p>
    <w:p w:rsidR="00000000" w:rsidDel="00000000" w:rsidP="00000000" w:rsidRDefault="00000000" w:rsidRPr="00000000" w14:paraId="00000012">
      <w:pPr>
        <w:ind w:left="108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Type of Sequencer: Illumina platform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425" w:hanging="425"/>
        <w:jc w:val="both"/>
        <w:rPr/>
      </w:pPr>
      <w:r w:rsidDel="00000000" w:rsidR="00000000" w:rsidRPr="00000000">
        <w:rPr>
          <w:rtl w:val="0"/>
        </w:rPr>
        <w:t xml:space="preserve">Oczekiwania analityczne względem przekazania danych (w punktach, np. identyfikacja genów prezentujących zróżnicowaną ekspresję, analiza PCA, wizualizacja poziomu ekspresji konkretnego genu w poszczególnych próbkach, włączenie do analiz danych z baz np.: TCGA, TargetScan, wysyłka nowego genomu do bazy Genome, ewentualne sugestie analiz na podstawie publikacji lub konkretnych narzędzi, zamieszczenie bibliotek odczytów w bazie SRA).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analiza PCA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identyfikacja genów prezentujących zróżnicowaną ekspresję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identyfikacja lncRNA prezentujących zróżnicowaną ekspresję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zamieszczenie bibliotek odczytów w bazie SRA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425" w:hanging="425"/>
        <w:jc w:val="both"/>
        <w:rPr/>
      </w:pPr>
      <w:r w:rsidDel="00000000" w:rsidR="00000000" w:rsidRPr="00000000">
        <w:rPr>
          <w:rtl w:val="0"/>
        </w:rPr>
        <w:t xml:space="preserve">Kiedy oczekują Państwo raportu z analizy danych (min./ max.)?**</w:t>
      </w:r>
      <w:sdt>
        <w:sdtPr>
          <w:id w:val="-1673321862"/>
          <w:tag w:val="goog_rdk_2"/>
        </w:sdtPr>
        <w:sdtContent>
          <w:commentRangeStart w:id="2"/>
        </w:sdtContent>
      </w:sdt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min czas ok 2 miesiące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425" w:hanging="425"/>
        <w:jc w:val="both"/>
        <w:rPr/>
      </w:pPr>
      <w:r w:rsidDel="00000000" w:rsidR="00000000" w:rsidRPr="00000000">
        <w:rPr>
          <w:rtl w:val="0"/>
        </w:rPr>
        <w:t xml:space="preserve">Informacje dodatkowe, które mogą być istotne dla usprawnienia analiz danych omicznych w LBM.</w:t>
      </w:r>
    </w:p>
    <w:p w:rsidR="00000000" w:rsidDel="00000000" w:rsidP="00000000" w:rsidRDefault="00000000" w:rsidRPr="00000000" w14:paraId="0000001A">
      <w:pP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  <w:t xml:space="preserve">UWAGI KOŃCOWE:</w:t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  <w:t xml:space="preserve">Zlecający powinien zarchiwizować przekazywane dane we własnym zakresie (tj. odczyty otrzymane po sekwencjonowaniu), po skończonej analizie dane wejściowe zostaną usunięte z serwera LBM.</w:t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Dobrą praktyką jest skonsultowanie projektu na etapie planowania lub przynajmniej przed wysyłką materiału do sekwencjonowania.</w:t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  <w:t xml:space="preserve">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*Przykładowa tabela macierzy eksperymentu:</w:t>
      </w:r>
    </w:p>
    <w:tbl>
      <w:tblPr>
        <w:tblStyle w:val="Table1"/>
        <w:tblW w:w="100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265"/>
        <w:gridCol w:w="1980"/>
        <w:gridCol w:w="3540"/>
        <w:tblGridChange w:id="0">
          <w:tblGrid>
            <w:gridCol w:w="2265"/>
            <w:gridCol w:w="2265"/>
            <w:gridCol w:w="1980"/>
            <w:gridCol w:w="3540"/>
          </w:tblGrid>
        </w:tblGridChange>
      </w:tblGrid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Próbka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Status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Układ eksperymentalny:</w:t>
              <w:br w:type="textWrapping"/>
              <w:t xml:space="preserve">czas/sposób traktowania/etc.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Osobnik/biologiczne powtórzenie</w:t>
            </w:r>
          </w:p>
        </w:tc>
      </w:tr>
      <w:tr>
        <w:trPr>
          <w:cantSplit w:val="0"/>
          <w:trHeight w:val="5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A28_K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kontrolna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A29_K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kontrolna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A96_K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kontrolna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A97_K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kontrolna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A28_IL-23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badana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A29_IL-23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badana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A96_IL-23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badana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A97_IL-23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gr. badana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treated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4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** W przypadku nowych danych analiza jakości odczytów, która może stanowić podstawę do reklamowania usługi sekwencjonowania, zostanie wykonana w ciągu 5 dni roboczych od dnia otrzymania danych.</w:t>
      </w:r>
    </w:p>
    <w:sectPr>
      <w:pgSz w:h="16834" w:w="11909" w:orient="portrait"/>
      <w:pgMar w:bottom="794" w:top="794" w:left="794" w:right="794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Tomasz Molcan" w:id="2" w:date="2026-03-16T13:19:03Z"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czas uwarunkowany jest wielkością eksperymentu oraz typem eksperymentu.</w:t>
      </w:r>
    </w:p>
  </w:comment>
  <w:comment w:author="Tomasz Molcan" w:id="0" w:date="2026-03-16T13:15:38Z"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Kiedy planowane jest dostarczenie danych do LBO</w:t>
      </w:r>
    </w:p>
  </w:comment>
  <w:comment w:author="Tomasz Molcan" w:id="1" w:date="2026-03-16T13:18:04Z"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zwykle znajdują się w raporcie lub na stronie internetowej podczas składania zamówienie na usługę sekwencjonowania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46" w15:done="0"/>
  <w15:commentEx w15:paraId="00000047" w15:done="0"/>
  <w15:commentEx w15:paraId="00000048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gkelc" w:customStyle="1">
    <w:name w:val="hgkelc"/>
    <w:basedOn w:val="Domylnaczcionkaakapitu"/>
    <w:rsid w:val="00A614F7"/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gkW9bImOIh2OdqndZ8dDMJzzQ==">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2023-10-20T16:39:00Z</dcterms:created>
</cp:coreProperties>
</file>