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Questionnaire for data analysis at the LBM Core Facility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5.19685039370086" w:hanging="360"/>
        <w:jc w:val="both"/>
      </w:pPr>
      <w:r w:rsidDel="00000000" w:rsidR="00000000" w:rsidRPr="00000000">
        <w:rPr>
          <w:rtl w:val="0"/>
        </w:rPr>
        <w:t xml:space="preserve">Expected date for data delivery to LBM (day-month-year): </w:t>
      </w:r>
      <w:r w:rsidDel="00000000" w:rsidR="00000000" w:rsidRPr="00000000">
        <w:rPr>
          <w:color w:val="ff0000"/>
          <w:rtl w:val="0"/>
        </w:rPr>
        <w:t xml:space="preserve">18.01.2024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main research  hypothesis/question or specific hypotheses:</w:t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Do treatment X and sugar impact the power of The Powerpuff Girls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Experiment design: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experimental matrix (table with the sample description)*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type of data analysis (e.g. RNA-seq, miRNA-seq, WGBS, LC-MS) </w:t>
      </w:r>
      <w:r w:rsidDel="00000000" w:rsidR="00000000" w:rsidRPr="00000000">
        <w:rPr>
          <w:color w:val="ff0000"/>
          <w:rtl w:val="0"/>
        </w:rPr>
        <w:t xml:space="preserve">RNA-seq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species name of the tested organism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Homo sapiens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material origin (tissues/cell lines/environmental samples): </w:t>
      </w:r>
      <w:r w:rsidDel="00000000" w:rsidR="00000000" w:rsidRPr="00000000">
        <w:rPr>
          <w:color w:val="ff0000"/>
          <w:rtl w:val="0"/>
        </w:rPr>
        <w:t xml:space="preserve">muscle cell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number of groups: </w:t>
      </w:r>
      <w:r w:rsidDel="00000000" w:rsidR="00000000" w:rsidRPr="00000000">
        <w:rPr>
          <w:color w:val="ff0000"/>
          <w:rtl w:val="0"/>
        </w:rPr>
        <w:t xml:space="preserve">2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number of replicates in a group: </w:t>
      </w:r>
      <w:r w:rsidDel="00000000" w:rsidR="00000000" w:rsidRPr="00000000">
        <w:rPr>
          <w:color w:val="ff0000"/>
          <w:rtl w:val="0"/>
        </w:rPr>
        <w:t xml:space="preserve">5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ames of groups to be compared: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Tx vs C, Ts vs C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Whether a batch effect is expected (e.g., samples were processed at different times; some of the samples were resequenced, and DNA/RNA quality analyses indicated poorer quality of some samples before sequencing, protein samples were showed contaminants) </w:t>
      </w:r>
      <w:r w:rsidDel="00000000" w:rsidR="00000000" w:rsidRPr="00000000">
        <w:rPr>
          <w:color w:val="ff0000"/>
          <w:rtl w:val="0"/>
        </w:rPr>
        <w:t xml:space="preserve">No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850.39370078740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Detailed information about data generation. For sequencing data what was the adapter sequence used for sequencing? Information about the sequencing method used (technology, e.g. Illumina, ONT Nanopore, PacBio, etc.; length of reads; type of reads, e.g. single, paired; kit used to prepare the library). </w:t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Type of Read: Paired-end </w:t>
      </w:r>
    </w:p>
    <w:p w:rsidR="00000000" w:rsidDel="00000000" w:rsidP="00000000" w:rsidRDefault="00000000" w:rsidRPr="00000000" w14:paraId="00000011">
      <w:pPr>
        <w:ind w:left="144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Read Length: 151 </w:t>
      </w:r>
    </w:p>
    <w:p w:rsidR="00000000" w:rsidDel="00000000" w:rsidP="00000000" w:rsidRDefault="00000000" w:rsidRPr="00000000" w14:paraId="00000012">
      <w:pPr>
        <w:ind w:left="144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Library Kit: TruSeq Stranded mRNA LT Sample Prep Kit </w:t>
      </w:r>
    </w:p>
    <w:p w:rsidR="00000000" w:rsidDel="00000000" w:rsidP="00000000" w:rsidRDefault="00000000" w:rsidRPr="00000000" w14:paraId="00000013">
      <w:pPr>
        <w:ind w:left="144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Type of Sequencer: Illumina platform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5.1968503937007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Analytical expectations regarding to the data (in points, e.g. for sequencing data: identification of genes presenting differential expression, PCA analysis, visualization of the expression level of a specific gene in individual samples, inclusion in analyses of data from databases e.g. TCGA, TargetScan, sending a new genome to the Genome database, possible suggestions for analyses based on publications or specific tools, inclusion of read libraries in the SRA database).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Raw data QC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PCA analysis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identification of genes/proteins presenting differential expression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identification of lncRNAs presenting differential expression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analysis of genes potentially regulated by lncRNAs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inclusion of read libraries in the SRA database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5.1968503937007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When do you expect the data analysis report (earliest / latest)? </w:t>
      </w:r>
      <w:r w:rsidDel="00000000" w:rsidR="00000000" w:rsidRPr="00000000">
        <w:rPr>
          <w:color w:val="ff0000"/>
          <w:rtl w:val="0"/>
        </w:rPr>
        <w:t xml:space="preserve">1.06.2024/30.11.2024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25.1968503937007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Additional information may be important to improve the analysis of omics data in LBM.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FINAL REMARKS: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The ordering party should archive the submitted data on their own (i.e., readings received after sequencing). The input data will be deleted from the LBM server after </w:t>
      </w:r>
      <w:r w:rsidDel="00000000" w:rsidR="00000000" w:rsidRPr="00000000">
        <w:rPr>
          <w:rtl w:val="0"/>
        </w:rPr>
        <w:t xml:space="preserve">the completion of data</w:t>
      </w:r>
      <w:r w:rsidDel="00000000" w:rsidR="00000000" w:rsidRPr="00000000">
        <w:rPr>
          <w:rtl w:val="0"/>
        </w:rPr>
        <w:t xml:space="preserve"> analysis.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It is good practice to consult the project at the planning stage or before sending the material for sequencing or other kinds of omnic data analysis.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*Exemple experiment matrix table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50"/>
        <w:gridCol w:w="1995"/>
        <w:gridCol w:w="2595"/>
        <w:tblGridChange w:id="0">
          <w:tblGrid>
            <w:gridCol w:w="2265"/>
            <w:gridCol w:w="2250"/>
            <w:gridCol w:w="1995"/>
            <w:gridCol w:w="2595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Group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Biological replicate 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A28_K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A29_K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A96_K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A97_K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A28_IL-23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IL-23 10 ng/ml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A29_IL-23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IL-23 10 ng/ml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A96_IL-23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IL-23 10 ng/ml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A97_IL-23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IL-23 10 ng/ml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**In the case of new data, the analysis of the read quality, which may constitute the basis for advertising the sequencing service, will be performed within 5 business days from the date of receipt of the data.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