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252862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</w:rPr>
      </w:sdtEndPr>
      <w:sdtContent>
        <w:p w:rsidR="00414698" w:rsidRDefault="00414698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5045"/>
          </w:tblGrid>
          <w:tr w:rsidR="00414698">
            <w:sdt>
              <w:sdtPr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  <w:alias w:val="Tytuł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414698" w:rsidRDefault="002B6352" w:rsidP="002B6352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 xml:space="preserve">Polityka </w:t>
                    </w:r>
                    <w:r w:rsidR="00414698" w:rsidRPr="00414698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>otwartych i przejrzystych procesów rekrutacji opartych na  kwalifikacjach kandydata</w:t>
                    </w:r>
                  </w:p>
                </w:tc>
              </w:sdtContent>
            </w:sdt>
          </w:tr>
          <w:tr w:rsidR="00414698">
            <w:sdt>
              <w:sdtPr>
                <w:rPr>
                  <w:b/>
                  <w:sz w:val="40"/>
                  <w:szCs w:val="40"/>
                </w:rPr>
                <w:alias w:val="Podtytuł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414698" w:rsidRDefault="00414698" w:rsidP="00414698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proofErr w:type="spellStart"/>
                    <w:r w:rsidRPr="00414698">
                      <w:rPr>
                        <w:b/>
                        <w:sz w:val="40"/>
                        <w:szCs w:val="40"/>
                      </w:rPr>
                      <w:t>Open</w:t>
                    </w:r>
                    <w:proofErr w:type="spellEnd"/>
                    <w:r w:rsidRPr="00414698">
                      <w:rPr>
                        <w:b/>
                        <w:sz w:val="40"/>
                        <w:szCs w:val="40"/>
                      </w:rPr>
                      <w:t xml:space="preserve">, Transparent and </w:t>
                    </w:r>
                    <w:proofErr w:type="spellStart"/>
                    <w:r w:rsidRPr="00414698">
                      <w:rPr>
                        <w:b/>
                        <w:sz w:val="40"/>
                        <w:szCs w:val="40"/>
                      </w:rPr>
                      <w:t>Merit-based</w:t>
                    </w:r>
                    <w:proofErr w:type="spellEnd"/>
                    <w:r w:rsidRPr="00414698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414698">
                      <w:rPr>
                        <w:b/>
                        <w:sz w:val="40"/>
                        <w:szCs w:val="40"/>
                      </w:rPr>
                      <w:t>Recruitment</w:t>
                    </w:r>
                    <w:proofErr w:type="spellEnd"/>
                  </w:p>
                </w:tc>
              </w:sdtContent>
            </w:sdt>
          </w:tr>
          <w:tr w:rsidR="00414698">
            <w:sdt>
              <w:sdtPr>
                <w:rPr>
                  <w:sz w:val="28"/>
                  <w:szCs w:val="28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414698" w:rsidRDefault="00290F17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MARZEC</w:t>
                    </w:r>
                    <w:r w:rsidR="00414698">
                      <w:rPr>
                        <w:sz w:val="28"/>
                        <w:szCs w:val="28"/>
                      </w:rPr>
                      <w:t xml:space="preserve"> 2019</w:t>
                    </w:r>
                  </w:p>
                </w:tc>
              </w:sdtContent>
            </w:sdt>
          </w:tr>
        </w:tbl>
        <w:p w:rsidR="00414698" w:rsidRDefault="00414698"/>
        <w:p w:rsidR="00414698" w:rsidRDefault="00414698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  <w:r w:rsidRPr="00414698">
            <w:rPr>
              <w:rFonts w:asciiTheme="majorHAnsi" w:eastAsiaTheme="majorEastAsia" w:hAnsiTheme="majorHAnsi" w:cstheme="majorBidi"/>
              <w:noProof/>
              <w:sz w:val="76"/>
              <w:szCs w:val="72"/>
              <w:lang w:eastAsia="pl-PL"/>
            </w:rPr>
            <w:drawing>
              <wp:inline distT="0" distB="0" distL="0" distR="0">
                <wp:extent cx="1962150" cy="1534160"/>
                <wp:effectExtent l="19050" t="0" r="0" b="0"/>
                <wp:docPr id="3" name="Obraz 1" descr="https://mir.gdynia.pl/wp-content/uploads/2016/12/HR-logo-positive-XL-600x4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ir.gdynia.pl/wp-content/uploads/2016/12/HR-logo-positive-XL-600x4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202" cy="1538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14698" w:rsidRDefault="00414698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</w:p>
        <w:p w:rsidR="00414698" w:rsidRDefault="00414698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  <w:r w:rsidRPr="00414698">
            <w:rPr>
              <w:rFonts w:asciiTheme="majorHAnsi" w:eastAsiaTheme="majorEastAsia" w:hAnsiTheme="majorHAnsi" w:cstheme="majorBidi"/>
              <w:noProof/>
              <w:sz w:val="76"/>
              <w:szCs w:val="72"/>
              <w:lang w:eastAsia="pl-PL"/>
            </w:rPr>
            <w:drawing>
              <wp:inline distT="0" distB="0" distL="0" distR="0">
                <wp:extent cx="2122170" cy="2034540"/>
                <wp:effectExtent l="19050" t="0" r="0" b="0"/>
                <wp:docPr id="2" name="Obraz 2" descr="C:\Users\MMK\Dropbox\SPP Polska\Monika_prosze nic nie usuwać\12_Partnerzy\IRZBŻ PAN\IRZBZ_Godlo Instytutu 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MK\Dropbox\SPP Polska\Monika_prosze nic nie usuwać\12_Partnerzy\IRZBŻ PAN\IRZBZ_Godlo Instytutu CMY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9748" cy="203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:rsidR="00CD6EAB" w:rsidRPr="00655696" w:rsidRDefault="00CD6EAB" w:rsidP="00CD6EAB">
      <w:pPr>
        <w:jc w:val="both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lastRenderedPageBreak/>
        <w:t>Źródła prawa pracy</w:t>
      </w:r>
      <w:r w:rsidRPr="00655696">
        <w:rPr>
          <w:b/>
          <w:color w:val="0F243E" w:themeColor="text2" w:themeShade="80"/>
          <w:sz w:val="24"/>
          <w:szCs w:val="24"/>
        </w:rPr>
        <w:t>:</w:t>
      </w:r>
    </w:p>
    <w:p w:rsidR="00CD6EAB" w:rsidRDefault="00CD6EAB" w:rsidP="00CD6EAB">
      <w:pPr>
        <w:spacing w:after="0"/>
        <w:jc w:val="both"/>
        <w:rPr>
          <w:rFonts w:cstheme="minorHAnsi"/>
          <w:sz w:val="24"/>
          <w:szCs w:val="24"/>
        </w:rPr>
      </w:pPr>
      <w:r w:rsidRPr="00655696">
        <w:rPr>
          <w:rFonts w:cstheme="minorHAnsi"/>
          <w:sz w:val="24"/>
          <w:szCs w:val="24"/>
        </w:rPr>
        <w:t>Podstawowym źródłem prawa pracy</w:t>
      </w:r>
      <w:r>
        <w:rPr>
          <w:rFonts w:cstheme="minorHAnsi"/>
          <w:sz w:val="24"/>
          <w:szCs w:val="24"/>
        </w:rPr>
        <w:t xml:space="preserve"> w Polsce</w:t>
      </w:r>
      <w:r w:rsidRPr="00655696">
        <w:rPr>
          <w:rFonts w:cstheme="minorHAnsi"/>
          <w:sz w:val="24"/>
          <w:szCs w:val="24"/>
        </w:rPr>
        <w:t xml:space="preserve"> jest kodeks pracy</w:t>
      </w:r>
      <w:r>
        <w:rPr>
          <w:rFonts w:cstheme="minorHAnsi"/>
          <w:sz w:val="24"/>
          <w:szCs w:val="24"/>
        </w:rPr>
        <w:t xml:space="preserve">, który reguluje </w:t>
      </w:r>
      <w:r w:rsidRPr="00655696">
        <w:rPr>
          <w:rFonts w:cstheme="minorHAnsi"/>
          <w:sz w:val="24"/>
          <w:szCs w:val="24"/>
        </w:rPr>
        <w:t xml:space="preserve"> wszystkie podstawowe zagadnienia związane </w:t>
      </w:r>
      <w:r>
        <w:rPr>
          <w:rFonts w:cstheme="minorHAnsi"/>
          <w:sz w:val="24"/>
          <w:szCs w:val="24"/>
        </w:rPr>
        <w:t>ze stosunkiem pracy</w:t>
      </w:r>
      <w:r w:rsidRPr="00655696">
        <w:rPr>
          <w:rFonts w:cstheme="minorHAnsi"/>
          <w:sz w:val="24"/>
          <w:szCs w:val="24"/>
        </w:rPr>
        <w:t>: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prawa pracy;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071C6E">
        <w:rPr>
          <w:rFonts w:cstheme="minorHAnsi"/>
          <w:sz w:val="24"/>
          <w:szCs w:val="24"/>
        </w:rPr>
        <w:t>ormy nawiązania st</w:t>
      </w:r>
      <w:r>
        <w:rPr>
          <w:rFonts w:cstheme="minorHAnsi"/>
          <w:sz w:val="24"/>
          <w:szCs w:val="24"/>
        </w:rPr>
        <w:t>osunku pracy i jego rozwiązanie;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za pracę;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071C6E">
        <w:rPr>
          <w:rFonts w:cstheme="minorHAnsi"/>
          <w:sz w:val="24"/>
          <w:szCs w:val="24"/>
        </w:rPr>
        <w:t>obowiązki praco</w:t>
      </w:r>
      <w:r>
        <w:rPr>
          <w:rFonts w:cstheme="minorHAnsi"/>
          <w:sz w:val="24"/>
          <w:szCs w:val="24"/>
        </w:rPr>
        <w:t>wnika i obowiązki pracodawcy;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071C6E">
        <w:rPr>
          <w:rFonts w:cstheme="minorHAnsi"/>
          <w:sz w:val="24"/>
          <w:szCs w:val="24"/>
        </w:rPr>
        <w:t>odpowied</w:t>
      </w:r>
      <w:r>
        <w:rPr>
          <w:rFonts w:cstheme="minorHAnsi"/>
          <w:sz w:val="24"/>
          <w:szCs w:val="24"/>
        </w:rPr>
        <w:t>zialność materialną pracowników;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071C6E">
        <w:rPr>
          <w:rFonts w:cstheme="minorHAnsi"/>
          <w:sz w:val="24"/>
          <w:szCs w:val="24"/>
        </w:rPr>
        <w:t>zasady ustalania</w:t>
      </w:r>
      <w:r>
        <w:rPr>
          <w:rFonts w:cstheme="minorHAnsi"/>
          <w:sz w:val="24"/>
          <w:szCs w:val="24"/>
        </w:rPr>
        <w:t xml:space="preserve"> czasu pracy;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urlopy pracownicze;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071C6E">
        <w:rPr>
          <w:rFonts w:cstheme="minorHAnsi"/>
          <w:sz w:val="24"/>
          <w:szCs w:val="24"/>
        </w:rPr>
        <w:t>zatrudnienie młodocianych i ich oc</w:t>
      </w:r>
      <w:r>
        <w:rPr>
          <w:rFonts w:cstheme="minorHAnsi"/>
          <w:sz w:val="24"/>
          <w:szCs w:val="24"/>
        </w:rPr>
        <w:t>hronę oraz ochronę pracy kobiet;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bezpieczeństwo i higienę pracy;</w:t>
      </w:r>
    </w:p>
    <w:p w:rsidR="00CD6EAB" w:rsidRDefault="00CD6EAB" w:rsidP="00CD6EAB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071C6E">
        <w:rPr>
          <w:rFonts w:cstheme="minorHAnsi"/>
          <w:sz w:val="24"/>
          <w:szCs w:val="24"/>
        </w:rPr>
        <w:t xml:space="preserve"> rozstrzyganie sporów między pracownikami oraz </w:t>
      </w:r>
      <w:r>
        <w:rPr>
          <w:rFonts w:cstheme="minorHAnsi"/>
          <w:sz w:val="24"/>
          <w:szCs w:val="24"/>
        </w:rPr>
        <w:t>pracodawcą</w:t>
      </w:r>
      <w:r w:rsidRPr="00071C6E">
        <w:rPr>
          <w:rFonts w:cstheme="minorHAnsi"/>
          <w:sz w:val="24"/>
          <w:szCs w:val="24"/>
        </w:rPr>
        <w:t>.</w:t>
      </w:r>
    </w:p>
    <w:p w:rsidR="00CD6EAB" w:rsidRDefault="00581B35" w:rsidP="00581B3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Prawa i obowiązki pracowników naukowych reguluje również ustawa z dnia 30 kwietnia 2010r. </w:t>
      </w:r>
      <w:r w:rsidR="00253075">
        <w:rPr>
          <w:rFonts w:cstheme="minorHAnsi"/>
          <w:sz w:val="24"/>
          <w:szCs w:val="24"/>
        </w:rPr>
        <w:t>o Polskiej Akademii Nauk.</w:t>
      </w:r>
    </w:p>
    <w:p w:rsidR="00581B35" w:rsidRPr="00581B35" w:rsidRDefault="00581B35" w:rsidP="00581B35">
      <w:pPr>
        <w:spacing w:after="0"/>
        <w:rPr>
          <w:rFonts w:cstheme="minorHAnsi"/>
          <w:sz w:val="24"/>
          <w:szCs w:val="24"/>
        </w:rPr>
      </w:pPr>
    </w:p>
    <w:p w:rsidR="00CD6EAB" w:rsidRDefault="00CD6EAB" w:rsidP="00CD6EAB">
      <w:pPr>
        <w:rPr>
          <w:rFonts w:cstheme="minorHAnsi"/>
          <w:b/>
          <w:color w:val="0F243E" w:themeColor="text2" w:themeShade="80"/>
          <w:sz w:val="24"/>
          <w:szCs w:val="24"/>
        </w:rPr>
      </w:pPr>
      <w:r w:rsidRPr="00071C6E">
        <w:rPr>
          <w:rFonts w:cstheme="minorHAnsi"/>
          <w:b/>
          <w:color w:val="0F243E" w:themeColor="text2" w:themeShade="80"/>
          <w:sz w:val="24"/>
          <w:szCs w:val="24"/>
        </w:rPr>
        <w:t>Formy zatrudnienia</w:t>
      </w:r>
      <w:r>
        <w:rPr>
          <w:rFonts w:cstheme="minorHAnsi"/>
          <w:b/>
          <w:color w:val="0F243E" w:themeColor="text2" w:themeShade="80"/>
          <w:sz w:val="24"/>
          <w:szCs w:val="24"/>
        </w:rPr>
        <w:t>, wynagrodzenie pracownika i urlop wypoczynkowy:</w:t>
      </w:r>
    </w:p>
    <w:p w:rsidR="00CD6EAB" w:rsidRPr="00FF1DE4" w:rsidRDefault="00CD6EAB" w:rsidP="00CD6EAB">
      <w:pPr>
        <w:rPr>
          <w:rFonts w:cstheme="minorHAnsi"/>
          <w:sz w:val="24"/>
          <w:szCs w:val="24"/>
        </w:rPr>
      </w:pPr>
      <w:r w:rsidRPr="00FF1DE4">
        <w:rPr>
          <w:rFonts w:cstheme="minorHAnsi"/>
          <w:sz w:val="24"/>
          <w:szCs w:val="24"/>
        </w:rPr>
        <w:t>Pracownik,  zgodnie z kodeksem pracy, może być zatrudniony na podstawie umowy o pracę zawartej na:</w:t>
      </w:r>
    </w:p>
    <w:p w:rsidR="00CD6EAB" w:rsidRPr="00FF1DE4" w:rsidRDefault="00CD6EAB" w:rsidP="00CD6EAB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F1DE4">
        <w:rPr>
          <w:rFonts w:cstheme="minorHAnsi"/>
          <w:sz w:val="24"/>
          <w:szCs w:val="24"/>
        </w:rPr>
        <w:t>okres próbny  nieprzekraczający 3 miesięcy (poprzedza umowę na czas określony);</w:t>
      </w:r>
    </w:p>
    <w:p w:rsidR="00CD6EAB" w:rsidRPr="00FF1DE4" w:rsidRDefault="00CD6EAB" w:rsidP="00CD6EAB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F1DE4">
        <w:rPr>
          <w:rFonts w:cstheme="minorHAnsi"/>
          <w:sz w:val="24"/>
          <w:szCs w:val="24"/>
        </w:rPr>
        <w:t>czas określony  nieprzekraczający 33 miesięcy;</w:t>
      </w:r>
    </w:p>
    <w:p w:rsidR="00CD6EAB" w:rsidRPr="00FF1DE4" w:rsidRDefault="00CD6EAB" w:rsidP="00CD6EAB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F1DE4">
        <w:rPr>
          <w:rFonts w:cstheme="minorHAnsi"/>
          <w:sz w:val="24"/>
          <w:szCs w:val="24"/>
        </w:rPr>
        <w:t>czas realizacji projektu badawczego;</w:t>
      </w:r>
    </w:p>
    <w:p w:rsidR="00CD6EAB" w:rsidRPr="00FF1DE4" w:rsidRDefault="00CD6EAB" w:rsidP="00CD6EAB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F1DE4">
        <w:rPr>
          <w:rFonts w:cstheme="minorHAnsi"/>
          <w:sz w:val="24"/>
          <w:szCs w:val="24"/>
        </w:rPr>
        <w:t xml:space="preserve"> czas nieokreślony.</w:t>
      </w:r>
    </w:p>
    <w:p w:rsidR="00CD6EAB" w:rsidRDefault="00CD6EAB" w:rsidP="00CD6EAB">
      <w:pPr>
        <w:jc w:val="both"/>
        <w:rPr>
          <w:rFonts w:cstheme="minorHAnsi"/>
          <w:sz w:val="24"/>
          <w:szCs w:val="24"/>
        </w:rPr>
      </w:pPr>
      <w:r w:rsidRPr="00655696">
        <w:rPr>
          <w:rFonts w:cstheme="minorHAnsi"/>
          <w:sz w:val="24"/>
          <w:szCs w:val="24"/>
        </w:rPr>
        <w:t>Wynagrodzenie pracownika podlega szczególnej och</w:t>
      </w:r>
      <w:r>
        <w:rPr>
          <w:rFonts w:cstheme="minorHAnsi"/>
          <w:sz w:val="24"/>
          <w:szCs w:val="24"/>
        </w:rPr>
        <w:t xml:space="preserve">ronie prawnej. Wyraża się ona </w:t>
      </w:r>
      <w:r w:rsidRPr="00655696">
        <w:rPr>
          <w:rFonts w:cstheme="minorHAnsi"/>
          <w:sz w:val="24"/>
          <w:szCs w:val="24"/>
        </w:rPr>
        <w:t xml:space="preserve">w zakazie dokonywania potrąceń, z wyjątkiem przypadków przewidzianych w </w:t>
      </w:r>
      <w:r>
        <w:rPr>
          <w:rFonts w:cstheme="minorHAnsi"/>
          <w:sz w:val="24"/>
          <w:szCs w:val="24"/>
        </w:rPr>
        <w:t>kodeksie pracy.</w:t>
      </w:r>
      <w:r w:rsidRPr="006556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</w:t>
      </w:r>
      <w:r w:rsidRPr="00655696">
        <w:rPr>
          <w:rFonts w:cstheme="minorHAnsi"/>
          <w:sz w:val="24"/>
          <w:szCs w:val="24"/>
        </w:rPr>
        <w:t>Z wy</w:t>
      </w:r>
      <w:r>
        <w:rPr>
          <w:rFonts w:cstheme="minorHAnsi"/>
          <w:sz w:val="24"/>
          <w:szCs w:val="24"/>
        </w:rPr>
        <w:t>nagrodzenia mogą być potrącone:</w:t>
      </w:r>
    </w:p>
    <w:p w:rsidR="00CD6EAB" w:rsidRDefault="00CD6EAB" w:rsidP="00CD6EA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zaliczki na podatek dochodowy;</w:t>
      </w:r>
    </w:p>
    <w:p w:rsidR="00CD6EAB" w:rsidRDefault="00CD6EAB" w:rsidP="00CD6EA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składki na cele emerytalne;</w:t>
      </w:r>
    </w:p>
    <w:p w:rsidR="00CD6EAB" w:rsidRDefault="00CD6EAB" w:rsidP="00CD6EA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CD6EAB">
        <w:rPr>
          <w:rFonts w:cstheme="minorHAnsi"/>
          <w:sz w:val="24"/>
          <w:szCs w:val="24"/>
        </w:rPr>
        <w:t>należności alimentacyjne na</w:t>
      </w:r>
      <w:r>
        <w:rPr>
          <w:rFonts w:cstheme="minorHAnsi"/>
          <w:sz w:val="24"/>
          <w:szCs w:val="24"/>
        </w:rPr>
        <w:t xml:space="preserve"> podstawie tytułów wykonawczych;</w:t>
      </w:r>
    </w:p>
    <w:p w:rsidR="00CD6EAB" w:rsidRDefault="00CD6EAB" w:rsidP="00CD6EA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CD6EAB">
        <w:rPr>
          <w:rFonts w:cstheme="minorHAnsi"/>
          <w:sz w:val="24"/>
          <w:szCs w:val="24"/>
        </w:rPr>
        <w:t>inne należności na podstawie tytułów wyko</w:t>
      </w:r>
      <w:r>
        <w:rPr>
          <w:rFonts w:cstheme="minorHAnsi"/>
          <w:sz w:val="24"/>
          <w:szCs w:val="24"/>
        </w:rPr>
        <w:t>nawczych;</w:t>
      </w:r>
    </w:p>
    <w:p w:rsidR="00CD6EAB" w:rsidRDefault="00CD6EAB" w:rsidP="00CD6EA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zaliczki pieniężne;</w:t>
      </w:r>
    </w:p>
    <w:p w:rsidR="00CD6EAB" w:rsidRDefault="00CD6EAB" w:rsidP="00146373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CD6EAB">
        <w:rPr>
          <w:rFonts w:cstheme="minorHAnsi"/>
          <w:sz w:val="24"/>
          <w:szCs w:val="24"/>
        </w:rPr>
        <w:t>kary pieniężne za naruszenie porządku i dyscypliny pracy.</w:t>
      </w:r>
    </w:p>
    <w:p w:rsidR="00CD6EAB" w:rsidRPr="00260CF4" w:rsidRDefault="00260CF4" w:rsidP="00146373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260CF4">
        <w:rPr>
          <w:rFonts w:cstheme="minorHAnsi"/>
          <w:sz w:val="24"/>
          <w:szCs w:val="24"/>
        </w:rPr>
        <w:t>Pracownicy naukowi oraz pracownicy badawczo-techniczni mają prawo do</w:t>
      </w:r>
      <w:r>
        <w:rPr>
          <w:rFonts w:ascii="Arial" w:hAnsi="Arial" w:cs="Arial"/>
          <w:sz w:val="50"/>
          <w:szCs w:val="50"/>
        </w:rPr>
        <w:t xml:space="preserve"> </w:t>
      </w:r>
      <w:r w:rsidRPr="00260CF4">
        <w:rPr>
          <w:rFonts w:cstheme="minorHAnsi"/>
          <w:sz w:val="24"/>
          <w:szCs w:val="24"/>
        </w:rPr>
        <w:t>urlopu wypoczynkowego w</w:t>
      </w:r>
      <w:r>
        <w:rPr>
          <w:rFonts w:cstheme="minorHAnsi"/>
          <w:sz w:val="24"/>
          <w:szCs w:val="24"/>
        </w:rPr>
        <w:t xml:space="preserve"> </w:t>
      </w:r>
      <w:r w:rsidRPr="00260CF4">
        <w:rPr>
          <w:rFonts w:cstheme="minorHAnsi"/>
          <w:sz w:val="24"/>
          <w:szCs w:val="24"/>
        </w:rPr>
        <w:t>wymiarze 36</w:t>
      </w:r>
      <w:r>
        <w:rPr>
          <w:rFonts w:cstheme="minorHAnsi"/>
          <w:sz w:val="24"/>
          <w:szCs w:val="24"/>
        </w:rPr>
        <w:t xml:space="preserve"> </w:t>
      </w:r>
      <w:r w:rsidRPr="00260CF4">
        <w:rPr>
          <w:rFonts w:cstheme="minorHAnsi"/>
          <w:sz w:val="24"/>
          <w:szCs w:val="24"/>
        </w:rPr>
        <w:t>dni w</w:t>
      </w:r>
      <w:r>
        <w:rPr>
          <w:rFonts w:cstheme="minorHAnsi"/>
          <w:sz w:val="24"/>
          <w:szCs w:val="24"/>
        </w:rPr>
        <w:t xml:space="preserve"> </w:t>
      </w:r>
      <w:r w:rsidRPr="00260CF4">
        <w:rPr>
          <w:rFonts w:cstheme="minorHAnsi"/>
          <w:sz w:val="24"/>
          <w:szCs w:val="24"/>
        </w:rPr>
        <w:t>roku kalendarzowym</w:t>
      </w:r>
      <w:r>
        <w:rPr>
          <w:rFonts w:cstheme="minorHAnsi"/>
          <w:sz w:val="24"/>
          <w:szCs w:val="24"/>
        </w:rPr>
        <w:t>.</w:t>
      </w:r>
    </w:p>
    <w:p w:rsidR="00581B35" w:rsidRDefault="00581B35" w:rsidP="00146373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  <w:sectPr w:rsidR="00581B35" w:rsidSect="006F76A4"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D6EAB" w:rsidRDefault="00CD6EAB" w:rsidP="00146373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6C77A9" w:rsidRPr="0064113D" w:rsidRDefault="006C77A9" w:rsidP="00146373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6C77A9">
        <w:rPr>
          <w:rFonts w:cstheme="minorHAnsi"/>
          <w:b/>
          <w:color w:val="0F243E" w:themeColor="text2" w:themeShade="80"/>
          <w:sz w:val="24"/>
          <w:szCs w:val="24"/>
        </w:rPr>
        <w:t xml:space="preserve">Stanowiska naukowe w </w:t>
      </w:r>
      <w:r w:rsidR="00655696">
        <w:rPr>
          <w:rFonts w:cstheme="minorHAnsi"/>
          <w:b/>
          <w:color w:val="0F243E" w:themeColor="text2" w:themeShade="80"/>
          <w:sz w:val="24"/>
          <w:szCs w:val="24"/>
        </w:rPr>
        <w:t xml:space="preserve">Instytucie: </w:t>
      </w:r>
    </w:p>
    <w:p w:rsidR="00146373" w:rsidRPr="00146373" w:rsidRDefault="00146373" w:rsidP="00146373">
      <w:pPr>
        <w:jc w:val="both"/>
        <w:rPr>
          <w:rFonts w:cstheme="minorHAnsi"/>
          <w:sz w:val="24"/>
          <w:szCs w:val="24"/>
        </w:rPr>
      </w:pPr>
      <w:r w:rsidRPr="00146373">
        <w:rPr>
          <w:rFonts w:cstheme="minorHAnsi"/>
          <w:sz w:val="24"/>
          <w:szCs w:val="24"/>
        </w:rPr>
        <w:t>W Instytucie Rozrodu Zwierząt i Badań Żywności PAN pracownicy naukowi mogą być zatrudniani na stanowiskach:</w:t>
      </w:r>
    </w:p>
    <w:p w:rsidR="00146373" w:rsidRPr="00B96559" w:rsidRDefault="00146373" w:rsidP="0014637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asystenta;</w:t>
      </w:r>
    </w:p>
    <w:p w:rsidR="00146373" w:rsidRPr="00B96559" w:rsidRDefault="00146373" w:rsidP="0014637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adiunkta;</w:t>
      </w:r>
    </w:p>
    <w:p w:rsidR="00146373" w:rsidRPr="00B96559" w:rsidRDefault="00146373" w:rsidP="0014637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profesora instytutu;</w:t>
      </w:r>
    </w:p>
    <w:p w:rsidR="00123C31" w:rsidRPr="00DD1EA3" w:rsidRDefault="00146373" w:rsidP="00123C3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6559">
        <w:rPr>
          <w:rFonts w:cstheme="minorHAnsi"/>
          <w:sz w:val="24"/>
          <w:szCs w:val="24"/>
        </w:rPr>
        <w:t>profesora.</w:t>
      </w:r>
    </w:p>
    <w:p w:rsidR="0064113D" w:rsidRDefault="0064113D" w:rsidP="00163A84">
      <w:pPr>
        <w:jc w:val="both"/>
        <w:rPr>
          <w:b/>
          <w:color w:val="0F243E" w:themeColor="text2" w:themeShade="80"/>
          <w:sz w:val="24"/>
          <w:szCs w:val="24"/>
        </w:rPr>
      </w:pPr>
      <w:r w:rsidRPr="001928E9">
        <w:rPr>
          <w:b/>
          <w:color w:val="0F243E" w:themeColor="text2" w:themeShade="80"/>
          <w:sz w:val="24"/>
          <w:szCs w:val="24"/>
        </w:rPr>
        <w:t xml:space="preserve">Etapy </w:t>
      </w:r>
      <w:r w:rsidR="00F76830" w:rsidRPr="001928E9">
        <w:rPr>
          <w:b/>
          <w:color w:val="0F243E" w:themeColor="text2" w:themeShade="80"/>
          <w:sz w:val="24"/>
          <w:szCs w:val="24"/>
        </w:rPr>
        <w:t xml:space="preserve">doboru </w:t>
      </w:r>
      <w:r w:rsidR="00C73A6F" w:rsidRPr="001928E9">
        <w:rPr>
          <w:b/>
          <w:color w:val="0F243E" w:themeColor="text2" w:themeShade="80"/>
          <w:sz w:val="24"/>
          <w:szCs w:val="24"/>
        </w:rPr>
        <w:t xml:space="preserve">pracowników </w:t>
      </w:r>
      <w:r w:rsidR="007D4436" w:rsidRPr="001928E9">
        <w:rPr>
          <w:b/>
          <w:color w:val="0F243E" w:themeColor="text2" w:themeShade="80"/>
          <w:sz w:val="24"/>
          <w:szCs w:val="24"/>
        </w:rPr>
        <w:t>w Instytucie:</w:t>
      </w:r>
    </w:p>
    <w:p w:rsidR="001928E9" w:rsidRDefault="001928E9" w:rsidP="0019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928E9">
        <w:rPr>
          <w:rFonts w:cstheme="minorHAnsi"/>
          <w:sz w:val="24"/>
          <w:szCs w:val="24"/>
        </w:rPr>
        <w:t>Do podstawowych etapów doboru</w:t>
      </w:r>
      <w:r>
        <w:rPr>
          <w:rFonts w:cstheme="minorHAnsi"/>
          <w:sz w:val="24"/>
          <w:szCs w:val="24"/>
        </w:rPr>
        <w:t xml:space="preserve"> pracowników w Instytucie</w:t>
      </w:r>
      <w:r w:rsidRPr="001928E9">
        <w:rPr>
          <w:rFonts w:cstheme="minorHAnsi"/>
          <w:sz w:val="24"/>
          <w:szCs w:val="24"/>
        </w:rPr>
        <w:t xml:space="preserve"> zalicza sie: rekrutacj</w:t>
      </w:r>
      <w:r w:rsidR="00FC75D9">
        <w:rPr>
          <w:rFonts w:cstheme="minorHAnsi"/>
          <w:sz w:val="24"/>
          <w:szCs w:val="24"/>
        </w:rPr>
        <w:t>ę</w:t>
      </w:r>
      <w:r w:rsidRPr="001928E9">
        <w:rPr>
          <w:rFonts w:cstheme="minorHAnsi"/>
          <w:sz w:val="24"/>
          <w:szCs w:val="24"/>
        </w:rPr>
        <w:t>, selekcj</w:t>
      </w:r>
      <w:r w:rsidR="00FC75D9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, ogłoszenie wyników</w:t>
      </w:r>
      <w:r w:rsidRPr="001928E9">
        <w:rPr>
          <w:rFonts w:cstheme="minorHAnsi"/>
          <w:sz w:val="24"/>
          <w:szCs w:val="24"/>
        </w:rPr>
        <w:t xml:space="preserve"> </w:t>
      </w:r>
      <w:r w:rsidR="00FC75D9">
        <w:rPr>
          <w:rFonts w:cstheme="minorHAnsi"/>
          <w:sz w:val="24"/>
          <w:szCs w:val="24"/>
        </w:rPr>
        <w:t xml:space="preserve">konkursu </w:t>
      </w:r>
      <w:r w:rsidRPr="001928E9">
        <w:rPr>
          <w:rFonts w:cstheme="minorHAnsi"/>
          <w:sz w:val="24"/>
          <w:szCs w:val="24"/>
        </w:rPr>
        <w:t>i wprowadzenie na</w:t>
      </w:r>
      <w:r>
        <w:rPr>
          <w:rFonts w:cstheme="minorHAnsi"/>
          <w:sz w:val="24"/>
          <w:szCs w:val="24"/>
        </w:rPr>
        <w:t xml:space="preserve"> </w:t>
      </w:r>
      <w:r w:rsidRPr="001928E9">
        <w:rPr>
          <w:rFonts w:cstheme="minorHAnsi"/>
          <w:sz w:val="24"/>
          <w:szCs w:val="24"/>
        </w:rPr>
        <w:t>stanowisko pracy. Etapy te poprzedza dokładna analiza przyszłych potrzeb</w:t>
      </w:r>
      <w:r>
        <w:rPr>
          <w:rFonts w:cstheme="minorHAnsi"/>
          <w:sz w:val="24"/>
          <w:szCs w:val="24"/>
        </w:rPr>
        <w:t xml:space="preserve"> </w:t>
      </w:r>
      <w:r w:rsidRPr="001928E9">
        <w:rPr>
          <w:rFonts w:cstheme="minorHAnsi"/>
          <w:sz w:val="24"/>
          <w:szCs w:val="24"/>
        </w:rPr>
        <w:t>kadrowych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928E9" w:rsidRDefault="001928E9" w:rsidP="001928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928E9" w:rsidRPr="001928E9" w:rsidRDefault="001928E9" w:rsidP="001928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5274" w:rsidRDefault="0043160C" w:rsidP="00BD527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6" style="position:absolute;left:0;text-align:left;margin-left:185.95pt;margin-top:10.35pt;width:157.2pt;height:37.7pt;z-index:251658240">
            <v:textbox style="mso-next-textbox:#_x0000_s1026">
              <w:txbxContent>
                <w:p w:rsidR="00F76830" w:rsidRDefault="00F76830" w:rsidP="00F76830">
                  <w:pPr>
                    <w:jc w:val="center"/>
                  </w:pPr>
                  <w:r>
                    <w:t>Ustalenie potrzeb kadrowych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3" type="#_x0000_t87" style="position:absolute;left:0;text-align:left;margin-left:126.6pt;margin-top:13.9pt;width:7.15pt;height:158.4pt;z-index:251671552"/>
        </w:pict>
      </w:r>
    </w:p>
    <w:p w:rsidR="00BD5274" w:rsidRDefault="0043160C" w:rsidP="00BD527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70.25pt;margin-top:21.2pt;width:.35pt;height:21.05pt;z-index:251666432" o:connectortype="straight">
            <v:stroke endarrow="block"/>
          </v:shape>
        </w:pict>
      </w:r>
    </w:p>
    <w:p w:rsidR="00BD5274" w:rsidRPr="00FF1DE4" w:rsidRDefault="0043160C" w:rsidP="00BD5274">
      <w:pPr>
        <w:jc w:val="both"/>
        <w:rPr>
          <w:color w:val="0F243E" w:themeColor="text2" w:themeShade="80"/>
          <w:sz w:val="24"/>
          <w:szCs w:val="24"/>
        </w:rPr>
      </w:pPr>
      <w:r>
        <w:rPr>
          <w:noProof/>
          <w:color w:val="0F243E" w:themeColor="text2" w:themeShade="80"/>
          <w:sz w:val="24"/>
          <w:szCs w:val="24"/>
          <w:lang w:eastAsia="pl-PL"/>
        </w:rPr>
        <w:pict>
          <v:rect id="_x0000_s1028" style="position:absolute;left:0;text-align:left;margin-left:185.95pt;margin-top:15.4pt;width:157.2pt;height:36pt;z-index:251659264">
            <v:textbox style="mso-next-textbox:#_x0000_s1028">
              <w:txbxContent>
                <w:p w:rsidR="00F76830" w:rsidRDefault="00F76830" w:rsidP="00F76830">
                  <w:pPr>
                    <w:jc w:val="center"/>
                  </w:pPr>
                  <w:r>
                    <w:t>Opis stanowiska pracy</w:t>
                  </w:r>
                </w:p>
              </w:txbxContent>
            </v:textbox>
          </v:rect>
        </w:pict>
      </w:r>
      <w:r w:rsidR="007D4436" w:rsidRPr="00FF1DE4">
        <w:rPr>
          <w:color w:val="0F243E" w:themeColor="text2" w:themeShade="80"/>
          <w:sz w:val="24"/>
          <w:szCs w:val="24"/>
        </w:rPr>
        <w:t>Etap I</w:t>
      </w:r>
    </w:p>
    <w:p w:rsidR="00BD5274" w:rsidRDefault="0043160C" w:rsidP="00BD527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7" type="#_x0000_t32" style="position:absolute;left:0;text-align:left;margin-left:270.25pt;margin-top:24.55pt;width:.35pt;height:24pt;z-index:251667456" o:connectortype="straight">
            <v:stroke endarrow="block"/>
          </v:shape>
        </w:pict>
      </w:r>
    </w:p>
    <w:p w:rsidR="00BD5274" w:rsidRDefault="0043160C" w:rsidP="00F76830">
      <w:pPr>
        <w:ind w:left="566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left:0;text-align:left;margin-left:185.95pt;margin-top:21.75pt;width:160.2pt;height:36.6pt;z-index:251662336">
            <v:textbox style="mso-next-textbox:#_x0000_s1031">
              <w:txbxContent>
                <w:p w:rsidR="00F76830" w:rsidRDefault="00F76830" w:rsidP="00F76830">
                  <w:pPr>
                    <w:jc w:val="center"/>
                  </w:pPr>
                  <w:r>
                    <w:t>Określenie wymagań wobec kandydatów</w:t>
                  </w:r>
                </w:p>
              </w:txbxContent>
            </v:textbox>
          </v:rect>
        </w:pict>
      </w:r>
    </w:p>
    <w:p w:rsidR="00F76830" w:rsidRDefault="00F76830" w:rsidP="00F76830">
      <w:pPr>
        <w:ind w:left="5664"/>
        <w:jc w:val="both"/>
        <w:rPr>
          <w:sz w:val="24"/>
          <w:szCs w:val="24"/>
        </w:rPr>
      </w:pPr>
    </w:p>
    <w:p w:rsidR="00BD5274" w:rsidRDefault="0043160C" w:rsidP="00BD527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8" type="#_x0000_t32" style="position:absolute;left:0;text-align:left;margin-left:270.25pt;margin-top:4.65pt;width:.35pt;height:23.4pt;z-index:251668480" o:connectortype="straight">
            <v:stroke endarrow="block"/>
          </v:shape>
        </w:pict>
      </w:r>
    </w:p>
    <w:p w:rsidR="00F76830" w:rsidRPr="00FF1DE4" w:rsidRDefault="0043160C" w:rsidP="00BD5274">
      <w:pPr>
        <w:jc w:val="both"/>
        <w:rPr>
          <w:color w:val="0F243E" w:themeColor="text2" w:themeShade="80"/>
          <w:sz w:val="24"/>
          <w:szCs w:val="24"/>
        </w:rPr>
      </w:pPr>
      <w:r w:rsidRPr="0043160C">
        <w:rPr>
          <w:noProof/>
          <w:sz w:val="24"/>
          <w:szCs w:val="24"/>
          <w:lang w:eastAsia="pl-PL"/>
        </w:rPr>
        <w:pict>
          <v:rect id="_x0000_s1029" style="position:absolute;left:0;text-align:left;margin-left:185.95pt;margin-top:1.2pt;width:160.2pt;height:34.8pt;z-index:251660288">
            <v:textbox style="mso-next-textbox:#_x0000_s1029">
              <w:txbxContent>
                <w:p w:rsidR="00F76830" w:rsidRDefault="00F76830" w:rsidP="00F76830">
                  <w:pPr>
                    <w:jc w:val="center"/>
                  </w:pPr>
                  <w:r>
                    <w:t xml:space="preserve">Proces rekrutacji </w:t>
                  </w:r>
                </w:p>
              </w:txbxContent>
            </v:textbox>
          </v:rect>
        </w:pict>
      </w:r>
      <w:r w:rsidR="00F76830">
        <w:rPr>
          <w:sz w:val="24"/>
          <w:szCs w:val="24"/>
        </w:rPr>
        <w:tab/>
      </w:r>
      <w:r w:rsidR="00F76830">
        <w:rPr>
          <w:sz w:val="24"/>
          <w:szCs w:val="24"/>
        </w:rPr>
        <w:tab/>
      </w:r>
      <w:r w:rsidR="00F76830">
        <w:rPr>
          <w:sz w:val="24"/>
          <w:szCs w:val="24"/>
        </w:rPr>
        <w:tab/>
      </w:r>
      <w:r w:rsidR="007D4436" w:rsidRPr="00FF1DE4">
        <w:rPr>
          <w:color w:val="0F243E" w:themeColor="text2" w:themeShade="80"/>
          <w:sz w:val="24"/>
          <w:szCs w:val="24"/>
        </w:rPr>
        <w:t>Etap II</w:t>
      </w:r>
      <w:r w:rsidR="00F76830" w:rsidRPr="00FF1DE4">
        <w:rPr>
          <w:color w:val="0F243E" w:themeColor="text2" w:themeShade="80"/>
          <w:sz w:val="24"/>
          <w:szCs w:val="24"/>
        </w:rPr>
        <w:tab/>
      </w:r>
      <w:r w:rsidR="00F76830" w:rsidRPr="00FF1DE4">
        <w:rPr>
          <w:color w:val="0F243E" w:themeColor="text2" w:themeShade="80"/>
          <w:sz w:val="24"/>
          <w:szCs w:val="24"/>
        </w:rPr>
        <w:tab/>
      </w:r>
      <w:r w:rsidR="00F76830" w:rsidRPr="00FF1DE4">
        <w:rPr>
          <w:color w:val="0F243E" w:themeColor="text2" w:themeShade="80"/>
          <w:sz w:val="24"/>
          <w:szCs w:val="24"/>
        </w:rPr>
        <w:tab/>
        <w:t xml:space="preserve">    </w:t>
      </w:r>
    </w:p>
    <w:p w:rsidR="00F76830" w:rsidRDefault="0043160C" w:rsidP="00C73A6F">
      <w:pPr>
        <w:tabs>
          <w:tab w:val="left" w:pos="54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40" type="#_x0000_t32" style="position:absolute;left:0;text-align:left;margin-left:270.25pt;margin-top:9.15pt;width:.05pt;height:25.8pt;z-index:251669504" o:connectortype="straight">
            <v:stroke endarrow="block"/>
          </v:shape>
        </w:pict>
      </w:r>
      <w:r w:rsidR="00C73A6F">
        <w:rPr>
          <w:sz w:val="24"/>
          <w:szCs w:val="24"/>
        </w:rPr>
        <w:tab/>
      </w:r>
    </w:p>
    <w:p w:rsidR="00F76830" w:rsidRPr="00FF1DE4" w:rsidRDefault="0043160C" w:rsidP="00BD5274">
      <w:pPr>
        <w:jc w:val="both"/>
        <w:rPr>
          <w:color w:val="0F243E" w:themeColor="text2" w:themeShade="80"/>
          <w:sz w:val="24"/>
          <w:szCs w:val="24"/>
        </w:rPr>
      </w:pPr>
      <w:r w:rsidRPr="0043160C">
        <w:rPr>
          <w:noProof/>
          <w:sz w:val="24"/>
          <w:szCs w:val="24"/>
          <w:lang w:eastAsia="pl-PL"/>
        </w:rPr>
        <w:pict>
          <v:rect id="_x0000_s1033" style="position:absolute;left:0;text-align:left;margin-left:185.95pt;margin-top:8.1pt;width:160.2pt;height:36pt;z-index:251664384">
            <v:textbox style="mso-next-textbox:#_x0000_s1033">
              <w:txbxContent>
                <w:p w:rsidR="00F76830" w:rsidRDefault="00F76830" w:rsidP="00F76830">
                  <w:pPr>
                    <w:jc w:val="center"/>
                  </w:pPr>
                  <w:r>
                    <w:t>Proces selekcji</w:t>
                  </w:r>
                </w:p>
                <w:p w:rsidR="00C73A6F" w:rsidRDefault="00C73A6F"/>
              </w:txbxContent>
            </v:textbox>
          </v:rect>
        </w:pict>
      </w:r>
      <w:r w:rsidR="007D4436">
        <w:rPr>
          <w:sz w:val="24"/>
          <w:szCs w:val="24"/>
        </w:rPr>
        <w:tab/>
      </w:r>
      <w:r w:rsidR="007D4436">
        <w:rPr>
          <w:sz w:val="24"/>
          <w:szCs w:val="24"/>
        </w:rPr>
        <w:tab/>
      </w:r>
      <w:r w:rsidR="007D4436">
        <w:rPr>
          <w:sz w:val="24"/>
          <w:szCs w:val="24"/>
        </w:rPr>
        <w:tab/>
      </w:r>
      <w:r w:rsidR="007D4436" w:rsidRPr="00FF1DE4">
        <w:rPr>
          <w:color w:val="0F243E" w:themeColor="text2" w:themeShade="80"/>
          <w:sz w:val="24"/>
          <w:szCs w:val="24"/>
        </w:rPr>
        <w:t>Etap III</w:t>
      </w:r>
    </w:p>
    <w:p w:rsidR="00F76830" w:rsidRDefault="0043160C" w:rsidP="00BD527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41" type="#_x0000_t32" style="position:absolute;left:0;text-align:left;margin-left:270.25pt;margin-top:17.25pt;width:.35pt;height:21.6pt;z-index:251670528" o:connectortype="straight">
            <v:stroke endarrow="block"/>
          </v:shape>
        </w:pict>
      </w:r>
    </w:p>
    <w:p w:rsidR="00F76830" w:rsidRPr="00FF1DE4" w:rsidRDefault="0043160C" w:rsidP="00BD5274">
      <w:pPr>
        <w:jc w:val="both"/>
        <w:rPr>
          <w:color w:val="0F243E" w:themeColor="text2" w:themeShade="80"/>
          <w:sz w:val="24"/>
          <w:szCs w:val="24"/>
        </w:rPr>
      </w:pPr>
      <w:r w:rsidRPr="0043160C">
        <w:rPr>
          <w:noProof/>
          <w:sz w:val="24"/>
          <w:szCs w:val="24"/>
          <w:lang w:eastAsia="pl-PL"/>
        </w:rPr>
        <w:pict>
          <v:rect id="_x0000_s1032" style="position:absolute;left:0;text-align:left;margin-left:185.95pt;margin-top:12pt;width:160.2pt;height:38.4pt;z-index:251663360">
            <v:textbox style="mso-next-textbox:#_x0000_s1032">
              <w:txbxContent>
                <w:p w:rsidR="00F76830" w:rsidRDefault="00A77C69" w:rsidP="00F76830">
                  <w:pPr>
                    <w:jc w:val="center"/>
                  </w:pPr>
                  <w:r>
                    <w:t>Ogłoszenie wyników konkursu</w:t>
                  </w:r>
                </w:p>
              </w:txbxContent>
            </v:textbox>
          </v:rect>
        </w:pict>
      </w:r>
      <w:r w:rsidR="007D4436">
        <w:rPr>
          <w:sz w:val="24"/>
          <w:szCs w:val="24"/>
        </w:rPr>
        <w:tab/>
      </w:r>
      <w:r w:rsidR="007D4436">
        <w:rPr>
          <w:sz w:val="24"/>
          <w:szCs w:val="24"/>
        </w:rPr>
        <w:tab/>
      </w:r>
      <w:r w:rsidR="007D4436">
        <w:rPr>
          <w:sz w:val="24"/>
          <w:szCs w:val="24"/>
        </w:rPr>
        <w:tab/>
      </w:r>
      <w:r w:rsidR="007D4436" w:rsidRPr="00FF1DE4">
        <w:rPr>
          <w:color w:val="0F243E" w:themeColor="text2" w:themeShade="80"/>
          <w:sz w:val="24"/>
          <w:szCs w:val="24"/>
        </w:rPr>
        <w:t>Etap IV</w:t>
      </w:r>
    </w:p>
    <w:p w:rsidR="00F76830" w:rsidRDefault="0043160C" w:rsidP="00BD527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45" type="#_x0000_t32" style="position:absolute;left:0;text-align:left;margin-left:269.95pt;margin-top:23.55pt;width:.3pt;height:22.2pt;z-index:251673600" o:connectortype="straight">
            <v:stroke endarrow="block"/>
          </v:shape>
        </w:pict>
      </w:r>
    </w:p>
    <w:p w:rsidR="00F76830" w:rsidRPr="00FF1DE4" w:rsidRDefault="0043160C" w:rsidP="00A77C69">
      <w:pPr>
        <w:tabs>
          <w:tab w:val="left" w:pos="708"/>
          <w:tab w:val="left" w:pos="1416"/>
          <w:tab w:val="left" w:pos="2124"/>
          <w:tab w:val="left" w:pos="2832"/>
          <w:tab w:val="left" w:pos="3888"/>
        </w:tabs>
        <w:jc w:val="both"/>
        <w:rPr>
          <w:color w:val="0F243E" w:themeColor="text2" w:themeShade="80"/>
          <w:sz w:val="24"/>
          <w:szCs w:val="24"/>
        </w:rPr>
      </w:pPr>
      <w:r w:rsidRPr="0043160C">
        <w:rPr>
          <w:noProof/>
          <w:sz w:val="24"/>
          <w:szCs w:val="24"/>
          <w:lang w:eastAsia="pl-PL"/>
        </w:rPr>
        <w:pict>
          <v:rect id="_x0000_s1044" style="position:absolute;left:0;text-align:left;margin-left:185.95pt;margin-top:18.9pt;width:160.2pt;height:33pt;flip:y;z-index:251672576">
            <v:textbox style="mso-next-textbox:#_x0000_s1044">
              <w:txbxContent>
                <w:p w:rsidR="00A77C69" w:rsidRDefault="00A77C69" w:rsidP="00A77C69">
                  <w:pPr>
                    <w:jc w:val="center"/>
                  </w:pPr>
                  <w:r>
                    <w:t>Wprowadzenie do pracy</w:t>
                  </w:r>
                </w:p>
              </w:txbxContent>
            </v:textbox>
          </v:rect>
        </w:pict>
      </w:r>
      <w:r w:rsidR="00A77C69">
        <w:rPr>
          <w:sz w:val="24"/>
          <w:szCs w:val="24"/>
        </w:rPr>
        <w:tab/>
      </w:r>
      <w:r w:rsidR="00A77C69">
        <w:rPr>
          <w:sz w:val="24"/>
          <w:szCs w:val="24"/>
        </w:rPr>
        <w:tab/>
      </w:r>
      <w:r w:rsidR="00A77C69">
        <w:rPr>
          <w:sz w:val="24"/>
          <w:szCs w:val="24"/>
        </w:rPr>
        <w:tab/>
      </w:r>
      <w:r w:rsidR="00A77C69" w:rsidRPr="00FF1DE4">
        <w:rPr>
          <w:color w:val="0F243E" w:themeColor="text2" w:themeShade="80"/>
          <w:sz w:val="24"/>
          <w:szCs w:val="24"/>
        </w:rPr>
        <w:t>Etap V</w:t>
      </w:r>
      <w:r w:rsidR="00A77C69" w:rsidRPr="00FF1DE4">
        <w:rPr>
          <w:color w:val="0F243E" w:themeColor="text2" w:themeShade="80"/>
          <w:sz w:val="24"/>
          <w:szCs w:val="24"/>
        </w:rPr>
        <w:tab/>
      </w:r>
      <w:r w:rsidR="00A77C69" w:rsidRPr="00FF1DE4">
        <w:rPr>
          <w:color w:val="0F243E" w:themeColor="text2" w:themeShade="80"/>
          <w:sz w:val="24"/>
          <w:szCs w:val="24"/>
        </w:rPr>
        <w:tab/>
      </w:r>
    </w:p>
    <w:p w:rsidR="00F76830" w:rsidRPr="00BD5274" w:rsidRDefault="00F76830" w:rsidP="00BD5274">
      <w:pPr>
        <w:jc w:val="both"/>
        <w:rPr>
          <w:sz w:val="24"/>
          <w:szCs w:val="24"/>
        </w:rPr>
      </w:pPr>
    </w:p>
    <w:p w:rsidR="001928E9" w:rsidRDefault="001928E9" w:rsidP="0046005D">
      <w:pPr>
        <w:jc w:val="both"/>
        <w:rPr>
          <w:b/>
          <w:sz w:val="24"/>
          <w:szCs w:val="24"/>
        </w:rPr>
      </w:pPr>
    </w:p>
    <w:p w:rsidR="0046005D" w:rsidRPr="00FF1DE4" w:rsidRDefault="007D4436" w:rsidP="0046005D">
      <w:pPr>
        <w:jc w:val="both"/>
        <w:rPr>
          <w:b/>
          <w:color w:val="0F243E" w:themeColor="text2" w:themeShade="80"/>
          <w:sz w:val="24"/>
          <w:szCs w:val="24"/>
        </w:rPr>
      </w:pPr>
      <w:r w:rsidRPr="00FF1DE4">
        <w:rPr>
          <w:b/>
          <w:color w:val="0F243E" w:themeColor="text2" w:themeShade="80"/>
          <w:sz w:val="24"/>
          <w:szCs w:val="24"/>
        </w:rPr>
        <w:lastRenderedPageBreak/>
        <w:t>Etap I –</w:t>
      </w:r>
      <w:r w:rsidR="00D27CBA" w:rsidRPr="00FF1DE4">
        <w:rPr>
          <w:b/>
          <w:color w:val="0F243E" w:themeColor="text2" w:themeShade="80"/>
          <w:sz w:val="24"/>
          <w:szCs w:val="24"/>
        </w:rPr>
        <w:t xml:space="preserve"> </w:t>
      </w:r>
      <w:r w:rsidRPr="00FF1DE4">
        <w:rPr>
          <w:b/>
          <w:color w:val="0F243E" w:themeColor="text2" w:themeShade="80"/>
          <w:sz w:val="24"/>
          <w:szCs w:val="24"/>
        </w:rPr>
        <w:t xml:space="preserve">ustalenie potrzeb kadrowych </w:t>
      </w:r>
    </w:p>
    <w:p w:rsidR="00FC75D9" w:rsidRDefault="00C84AE4" w:rsidP="0046005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63A84">
        <w:rPr>
          <w:sz w:val="24"/>
          <w:szCs w:val="24"/>
        </w:rPr>
        <w:t xml:space="preserve">ierwszym krokiem w procesie </w:t>
      </w:r>
      <w:r w:rsidR="00FC75D9">
        <w:rPr>
          <w:sz w:val="24"/>
          <w:szCs w:val="24"/>
        </w:rPr>
        <w:t>doboru pracownika</w:t>
      </w:r>
      <w:r w:rsidRPr="00163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 w:rsidRPr="00163A84">
        <w:rPr>
          <w:sz w:val="24"/>
          <w:szCs w:val="24"/>
        </w:rPr>
        <w:t xml:space="preserve">analiza </w:t>
      </w:r>
      <w:r>
        <w:rPr>
          <w:sz w:val="24"/>
          <w:szCs w:val="24"/>
        </w:rPr>
        <w:t xml:space="preserve">stanowiska </w:t>
      </w:r>
      <w:r w:rsidRPr="00163A84">
        <w:rPr>
          <w:sz w:val="24"/>
          <w:szCs w:val="24"/>
        </w:rPr>
        <w:t>pracy</w:t>
      </w:r>
      <w:r>
        <w:rPr>
          <w:sz w:val="24"/>
          <w:szCs w:val="24"/>
        </w:rPr>
        <w:t xml:space="preserve">. </w:t>
      </w:r>
      <w:r w:rsidR="00FC75D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Pozw</w:t>
      </w:r>
      <w:r w:rsidR="00FC75D9">
        <w:rPr>
          <w:sz w:val="24"/>
          <w:szCs w:val="24"/>
        </w:rPr>
        <w:t xml:space="preserve">ala </w:t>
      </w:r>
      <w:r>
        <w:rPr>
          <w:sz w:val="24"/>
          <w:szCs w:val="24"/>
        </w:rPr>
        <w:t xml:space="preserve">ona  określić  zakres </w:t>
      </w:r>
      <w:r w:rsidRPr="00163A84">
        <w:rPr>
          <w:sz w:val="24"/>
          <w:szCs w:val="24"/>
        </w:rPr>
        <w:t>obowiązk</w:t>
      </w:r>
      <w:r>
        <w:rPr>
          <w:sz w:val="24"/>
          <w:szCs w:val="24"/>
        </w:rPr>
        <w:t>ów, miejsce wykonywania pracy oraz opracować</w:t>
      </w:r>
      <w:r w:rsidRPr="00163A84">
        <w:rPr>
          <w:sz w:val="24"/>
          <w:szCs w:val="24"/>
        </w:rPr>
        <w:t xml:space="preserve"> specyfikacj</w:t>
      </w:r>
      <w:r>
        <w:rPr>
          <w:sz w:val="24"/>
          <w:szCs w:val="24"/>
        </w:rPr>
        <w:t>ę</w:t>
      </w:r>
      <w:r w:rsidRPr="00163A84">
        <w:rPr>
          <w:sz w:val="24"/>
          <w:szCs w:val="24"/>
        </w:rPr>
        <w:t xml:space="preserve"> zatrudnienia</w:t>
      </w:r>
      <w:r>
        <w:rPr>
          <w:sz w:val="24"/>
          <w:szCs w:val="24"/>
        </w:rPr>
        <w:t>, która</w:t>
      </w:r>
      <w:r w:rsidRPr="00163A84">
        <w:rPr>
          <w:sz w:val="24"/>
          <w:szCs w:val="24"/>
        </w:rPr>
        <w:t xml:space="preserve"> określ</w:t>
      </w:r>
      <w:r>
        <w:rPr>
          <w:sz w:val="24"/>
          <w:szCs w:val="24"/>
        </w:rPr>
        <w:t xml:space="preserve">i </w:t>
      </w:r>
      <w:r w:rsidRPr="00163A84">
        <w:rPr>
          <w:sz w:val="24"/>
          <w:szCs w:val="24"/>
        </w:rPr>
        <w:t xml:space="preserve">niezbędne wykształcenie, doświadczenie </w:t>
      </w:r>
      <w:r w:rsidR="00FC75D9">
        <w:rPr>
          <w:sz w:val="24"/>
          <w:szCs w:val="24"/>
        </w:rPr>
        <w:t xml:space="preserve">                                </w:t>
      </w:r>
      <w:r w:rsidRPr="00163A84">
        <w:rPr>
          <w:sz w:val="24"/>
          <w:szCs w:val="24"/>
        </w:rPr>
        <w:t xml:space="preserve">i umiejętności, jakie są potrzebne na danym stanowisku do jak najefektywniejszej pracy. </w:t>
      </w:r>
      <w:r>
        <w:rPr>
          <w:sz w:val="24"/>
          <w:szCs w:val="24"/>
        </w:rPr>
        <w:t xml:space="preserve"> </w:t>
      </w:r>
      <w:r w:rsidRPr="00163A84">
        <w:rPr>
          <w:sz w:val="24"/>
          <w:szCs w:val="24"/>
        </w:rPr>
        <w:t xml:space="preserve"> </w:t>
      </w:r>
      <w:r w:rsidR="00FC75D9">
        <w:rPr>
          <w:sz w:val="24"/>
          <w:szCs w:val="24"/>
        </w:rPr>
        <w:t>Analizy stanowiska pracy dokonuje</w:t>
      </w:r>
      <w:r w:rsidR="00A0201B">
        <w:rPr>
          <w:sz w:val="24"/>
          <w:szCs w:val="24"/>
        </w:rPr>
        <w:t xml:space="preserve"> dział HR.</w:t>
      </w:r>
    </w:p>
    <w:p w:rsidR="00A0201B" w:rsidRDefault="00A0201B" w:rsidP="00A0201B">
      <w:pPr>
        <w:ind w:left="426" w:hanging="426"/>
        <w:jc w:val="both"/>
        <w:rPr>
          <w:sz w:val="24"/>
          <w:szCs w:val="24"/>
        </w:rPr>
      </w:pPr>
      <w:r w:rsidRPr="008126F9">
        <w:rPr>
          <w:sz w:val="24"/>
          <w:szCs w:val="24"/>
        </w:rPr>
        <w:t>Ogłoszenie o konkursie zawiera:</w:t>
      </w:r>
    </w:p>
    <w:p w:rsidR="00A0201B" w:rsidRDefault="00A0201B" w:rsidP="00A020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26F9">
        <w:rPr>
          <w:sz w:val="24"/>
          <w:szCs w:val="24"/>
        </w:rPr>
        <w:t>nazw</w:t>
      </w:r>
      <w:r>
        <w:rPr>
          <w:sz w:val="24"/>
          <w:szCs w:val="24"/>
        </w:rPr>
        <w:t>ę stanowiska objętego konkursem;</w:t>
      </w:r>
    </w:p>
    <w:p w:rsidR="00A0201B" w:rsidRDefault="00A0201B" w:rsidP="00A020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26F9">
        <w:rPr>
          <w:sz w:val="24"/>
          <w:szCs w:val="24"/>
        </w:rPr>
        <w:t xml:space="preserve">informację o </w:t>
      </w:r>
      <w:r>
        <w:rPr>
          <w:sz w:val="24"/>
          <w:szCs w:val="24"/>
        </w:rPr>
        <w:t>liczbie wolnych stanowisk pracy;</w:t>
      </w:r>
    </w:p>
    <w:p w:rsidR="00A0201B" w:rsidRDefault="00A0201B" w:rsidP="00A020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26F9">
        <w:rPr>
          <w:sz w:val="24"/>
          <w:szCs w:val="24"/>
        </w:rPr>
        <w:t>zwięzły opis badań naukowych, w których kandydat miałby uczestniczyć</w:t>
      </w:r>
      <w:r>
        <w:rPr>
          <w:sz w:val="24"/>
          <w:szCs w:val="24"/>
        </w:rPr>
        <w:t>;</w:t>
      </w:r>
    </w:p>
    <w:p w:rsidR="00A0201B" w:rsidRDefault="00A0201B" w:rsidP="00A020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26F9">
        <w:rPr>
          <w:sz w:val="24"/>
          <w:szCs w:val="24"/>
        </w:rPr>
        <w:t>informację o procesie rekrutacji i kryteriach wyboru</w:t>
      </w:r>
      <w:r>
        <w:rPr>
          <w:sz w:val="24"/>
          <w:szCs w:val="24"/>
        </w:rPr>
        <w:t>;</w:t>
      </w:r>
    </w:p>
    <w:p w:rsidR="00A0201B" w:rsidRDefault="00A0201B" w:rsidP="00A020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26F9">
        <w:rPr>
          <w:sz w:val="24"/>
          <w:szCs w:val="24"/>
        </w:rPr>
        <w:t>informację o warunkach pracy i p</w:t>
      </w:r>
      <w:r>
        <w:rPr>
          <w:sz w:val="24"/>
          <w:szCs w:val="24"/>
        </w:rPr>
        <w:t>erspektywach rozwoju zawodowego;</w:t>
      </w:r>
    </w:p>
    <w:p w:rsidR="00A0201B" w:rsidRDefault="00A0201B" w:rsidP="00A020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26F9">
        <w:rPr>
          <w:sz w:val="24"/>
          <w:szCs w:val="24"/>
        </w:rPr>
        <w:t xml:space="preserve">sprecyzowane wymagania odnośnie ukończonych studiów wyższych, posiadanego stopnia naukowego lub tytułu naukowego oraz określenie </w:t>
      </w:r>
      <w:r>
        <w:rPr>
          <w:sz w:val="24"/>
          <w:szCs w:val="24"/>
        </w:rPr>
        <w:t>specjalności naukowej kandydata;</w:t>
      </w:r>
    </w:p>
    <w:p w:rsidR="00A0201B" w:rsidRDefault="00A0201B" w:rsidP="00A020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26F9">
        <w:rPr>
          <w:sz w:val="24"/>
          <w:szCs w:val="24"/>
        </w:rPr>
        <w:t xml:space="preserve">informację o wykazie dokumentów aplikacyjnych oraz sposobie, terminie i </w:t>
      </w:r>
      <w:r>
        <w:rPr>
          <w:sz w:val="24"/>
          <w:szCs w:val="24"/>
        </w:rPr>
        <w:t>miejscu składania dokumentów;</w:t>
      </w:r>
    </w:p>
    <w:p w:rsidR="00A0201B" w:rsidRDefault="00A0201B" w:rsidP="0046005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126F9">
        <w:rPr>
          <w:sz w:val="24"/>
          <w:szCs w:val="24"/>
        </w:rPr>
        <w:t>informację  o terminie rozstrzygnięcia konkursu.</w:t>
      </w:r>
    </w:p>
    <w:p w:rsidR="00655696" w:rsidRPr="00655696" w:rsidRDefault="00655696" w:rsidP="00655696">
      <w:pPr>
        <w:pStyle w:val="Akapitzlist"/>
        <w:jc w:val="both"/>
        <w:rPr>
          <w:sz w:val="24"/>
          <w:szCs w:val="24"/>
        </w:rPr>
      </w:pPr>
    </w:p>
    <w:p w:rsidR="006B6D5E" w:rsidRPr="00FF1DE4" w:rsidRDefault="006B6D5E" w:rsidP="0046005D">
      <w:pPr>
        <w:jc w:val="both"/>
        <w:rPr>
          <w:b/>
          <w:color w:val="0F243E" w:themeColor="text2" w:themeShade="80"/>
          <w:sz w:val="24"/>
          <w:szCs w:val="24"/>
        </w:rPr>
      </w:pPr>
      <w:r w:rsidRPr="00FF1DE4">
        <w:rPr>
          <w:b/>
          <w:color w:val="0F243E" w:themeColor="text2" w:themeShade="80"/>
          <w:sz w:val="24"/>
          <w:szCs w:val="24"/>
        </w:rPr>
        <w:t xml:space="preserve">Etap II – rekrutacja </w:t>
      </w:r>
    </w:p>
    <w:p w:rsidR="0046005D" w:rsidRDefault="0046005D" w:rsidP="00A0201B">
      <w:pPr>
        <w:spacing w:after="0"/>
        <w:jc w:val="both"/>
        <w:rPr>
          <w:sz w:val="24"/>
          <w:szCs w:val="24"/>
        </w:rPr>
      </w:pPr>
      <w:r w:rsidRPr="0046005D">
        <w:rPr>
          <w:sz w:val="24"/>
          <w:szCs w:val="24"/>
        </w:rPr>
        <w:t xml:space="preserve">Z wnioskiem o utworzenie stanowiska naukowego może wystąpić </w:t>
      </w:r>
      <w:r>
        <w:rPr>
          <w:sz w:val="24"/>
          <w:szCs w:val="24"/>
        </w:rPr>
        <w:t xml:space="preserve">dyrektor Instytutu, </w:t>
      </w:r>
      <w:r w:rsidRPr="0046005D">
        <w:rPr>
          <w:sz w:val="24"/>
          <w:szCs w:val="24"/>
        </w:rPr>
        <w:t>zastępca dyrektora ds. naukowych lub kierownik jednostki organizacyjnej Instytutu.</w:t>
      </w:r>
    </w:p>
    <w:p w:rsidR="0064113D" w:rsidRPr="0046005D" w:rsidRDefault="0064113D" w:rsidP="00A0201B">
      <w:pPr>
        <w:spacing w:after="0"/>
        <w:jc w:val="both"/>
        <w:rPr>
          <w:sz w:val="24"/>
          <w:szCs w:val="24"/>
        </w:rPr>
      </w:pPr>
      <w:r w:rsidRPr="0046005D">
        <w:rPr>
          <w:sz w:val="24"/>
          <w:szCs w:val="24"/>
        </w:rPr>
        <w:t xml:space="preserve">Zatrudnianie na stanowiskach naukowych odbywa się w drodze konkursu ogłaszanego przez </w:t>
      </w:r>
      <w:r w:rsidR="0046005D">
        <w:rPr>
          <w:sz w:val="24"/>
          <w:szCs w:val="24"/>
        </w:rPr>
        <w:t>d</w:t>
      </w:r>
      <w:r w:rsidRPr="0046005D">
        <w:rPr>
          <w:sz w:val="24"/>
          <w:szCs w:val="24"/>
        </w:rPr>
        <w:t>yrektora Instytutu.</w:t>
      </w:r>
    </w:p>
    <w:p w:rsidR="0064113D" w:rsidRDefault="0046005D" w:rsidP="0064113D">
      <w:pPr>
        <w:jc w:val="both"/>
        <w:rPr>
          <w:rFonts w:cstheme="minorHAnsi"/>
          <w:sz w:val="24"/>
          <w:szCs w:val="24"/>
        </w:rPr>
      </w:pPr>
      <w:r w:rsidRPr="0046005D">
        <w:rPr>
          <w:rFonts w:cstheme="minorHAnsi"/>
          <w:sz w:val="24"/>
          <w:szCs w:val="24"/>
        </w:rPr>
        <w:t xml:space="preserve">Ogłoszenie o konkursie </w:t>
      </w:r>
      <w:r>
        <w:rPr>
          <w:rFonts w:cstheme="minorHAnsi"/>
          <w:sz w:val="24"/>
          <w:szCs w:val="24"/>
        </w:rPr>
        <w:t xml:space="preserve">publikowane </w:t>
      </w:r>
      <w:r w:rsidRPr="0046005D">
        <w:rPr>
          <w:rFonts w:cstheme="minorHAnsi"/>
          <w:sz w:val="24"/>
          <w:szCs w:val="24"/>
        </w:rPr>
        <w:t>jest  m.in. na stronie Instytutu, na stronie Ministra Nauki i Szkolnictwa Wyższego  w Biuletynie Informacji Publicznej oraz na stronie internetowej Komisji Europejskiej w europejskim portalu dla mobilnych naukowców (EURAXESS)</w:t>
      </w:r>
      <w:r>
        <w:rPr>
          <w:rFonts w:cstheme="minorHAnsi"/>
          <w:sz w:val="24"/>
          <w:szCs w:val="24"/>
        </w:rPr>
        <w:t>. Ogłoszenie publikowane jest w wersji polskiej i angielskiej.</w:t>
      </w:r>
    </w:p>
    <w:p w:rsidR="00DF783F" w:rsidRDefault="00DF783F" w:rsidP="006411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Kandydaci mogą aplikować</w:t>
      </w:r>
      <w:r w:rsidR="00FA64D1">
        <w:rPr>
          <w:rFonts w:cstheme="minorHAnsi"/>
          <w:sz w:val="24"/>
          <w:szCs w:val="24"/>
        </w:rPr>
        <w:t xml:space="preserve"> w języku polskim i angielskim </w:t>
      </w:r>
      <w:r>
        <w:rPr>
          <w:rFonts w:cstheme="minorHAnsi"/>
          <w:sz w:val="24"/>
          <w:szCs w:val="24"/>
        </w:rPr>
        <w:t xml:space="preserve">drogą elektroniczną lub </w:t>
      </w:r>
      <w:r w:rsidR="00FA64D1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za pośrednictwem poczty tradycyjnej, przesyłając dokumenty na adres Instytutu. </w:t>
      </w:r>
      <w:r w:rsidR="00FA64D1">
        <w:rPr>
          <w:rFonts w:cstheme="minorHAnsi"/>
          <w:sz w:val="24"/>
          <w:szCs w:val="24"/>
        </w:rPr>
        <w:t xml:space="preserve">                             Proces aplikacyjny trwa 2 miesiące (od dnia publikacji ogłoszenia). </w:t>
      </w:r>
    </w:p>
    <w:p w:rsidR="00C84AE4" w:rsidRDefault="00DF783F" w:rsidP="00163A84">
      <w:pPr>
        <w:jc w:val="both"/>
        <w:rPr>
          <w:sz w:val="24"/>
          <w:szCs w:val="24"/>
        </w:rPr>
      </w:pPr>
      <w:r>
        <w:rPr>
          <w:sz w:val="24"/>
          <w:szCs w:val="24"/>
        </w:rPr>
        <w:t>Od kandydatów nie wymaga się przedkładania oryginałów dokumentów.</w:t>
      </w:r>
      <w:r w:rsidR="00142F17">
        <w:rPr>
          <w:sz w:val="24"/>
          <w:szCs w:val="24"/>
        </w:rPr>
        <w:t xml:space="preserve"> Kandydaci aplikujący na dane stanowisko pracy otrzymują informację zwrotną, że ich aplikacja została dostarczona. Kandydaci, którzy nie złożyli wszystkich niezbędnych dokumentów, wzywani są do uzupełniania braków w terminie 7 dni kalendarzowych.</w:t>
      </w:r>
    </w:p>
    <w:p w:rsidR="00260CF4" w:rsidRDefault="00260CF4" w:rsidP="00163A84">
      <w:pPr>
        <w:jc w:val="both"/>
        <w:rPr>
          <w:sz w:val="24"/>
          <w:szCs w:val="24"/>
        </w:rPr>
      </w:pPr>
    </w:p>
    <w:p w:rsidR="008126F9" w:rsidRPr="00FF1DE4" w:rsidRDefault="00270AB5" w:rsidP="008126F9">
      <w:pPr>
        <w:jc w:val="both"/>
        <w:rPr>
          <w:b/>
          <w:color w:val="0F243E" w:themeColor="text2" w:themeShade="80"/>
          <w:sz w:val="24"/>
          <w:szCs w:val="24"/>
        </w:rPr>
      </w:pPr>
      <w:r w:rsidRPr="00FF1DE4">
        <w:rPr>
          <w:b/>
          <w:color w:val="0F243E" w:themeColor="text2" w:themeShade="80"/>
          <w:sz w:val="24"/>
          <w:szCs w:val="24"/>
        </w:rPr>
        <w:lastRenderedPageBreak/>
        <w:t>Etap III – selekcja kandydatów</w:t>
      </w:r>
    </w:p>
    <w:p w:rsidR="00E037F3" w:rsidRDefault="000D730E" w:rsidP="009E3FC6">
      <w:pPr>
        <w:spacing w:after="0"/>
        <w:jc w:val="both"/>
        <w:rPr>
          <w:sz w:val="24"/>
          <w:szCs w:val="24"/>
        </w:rPr>
      </w:pPr>
      <w:r w:rsidRPr="000D730E">
        <w:rPr>
          <w:sz w:val="24"/>
          <w:szCs w:val="24"/>
        </w:rPr>
        <w:t>P</w:t>
      </w:r>
      <w:r w:rsidR="00270AB5">
        <w:rPr>
          <w:sz w:val="24"/>
          <w:szCs w:val="24"/>
        </w:rPr>
        <w:t xml:space="preserve">roces selekcji przeprowadza </w:t>
      </w:r>
      <w:r w:rsidRPr="000D730E">
        <w:rPr>
          <w:sz w:val="24"/>
          <w:szCs w:val="24"/>
        </w:rPr>
        <w:t xml:space="preserve">komisja konkursowa powoływana w drodze zarządzenia przez Dyrektora Instytutu. </w:t>
      </w:r>
      <w:r w:rsidR="006B6D5E">
        <w:rPr>
          <w:sz w:val="24"/>
          <w:szCs w:val="24"/>
        </w:rPr>
        <w:t xml:space="preserve"> </w:t>
      </w:r>
      <w:r w:rsidR="00270AB5">
        <w:rPr>
          <w:sz w:val="24"/>
          <w:szCs w:val="24"/>
        </w:rPr>
        <w:t xml:space="preserve">Komisję konkursową reprezentują </w:t>
      </w:r>
      <w:r w:rsidR="009D7A82">
        <w:rPr>
          <w:sz w:val="24"/>
          <w:szCs w:val="24"/>
        </w:rPr>
        <w:t xml:space="preserve"> przedstawiciele Instytutu oraz </w:t>
      </w:r>
      <w:r w:rsidR="00E037F3">
        <w:rPr>
          <w:sz w:val="24"/>
          <w:szCs w:val="24"/>
        </w:rPr>
        <w:t>osoby z zewnątrz</w:t>
      </w:r>
      <w:r w:rsidR="00270AB5">
        <w:rPr>
          <w:sz w:val="24"/>
          <w:szCs w:val="24"/>
        </w:rPr>
        <w:t>,</w:t>
      </w:r>
      <w:r w:rsidR="006B6D5E">
        <w:rPr>
          <w:sz w:val="24"/>
          <w:szCs w:val="24"/>
        </w:rPr>
        <w:t xml:space="preserve"> a także w razie</w:t>
      </w:r>
      <w:r w:rsidR="00E037F3">
        <w:rPr>
          <w:sz w:val="24"/>
          <w:szCs w:val="24"/>
        </w:rPr>
        <w:t xml:space="preserve"> </w:t>
      </w:r>
      <w:r w:rsidR="00E037F3" w:rsidRPr="00E037F3">
        <w:rPr>
          <w:sz w:val="24"/>
          <w:szCs w:val="24"/>
        </w:rPr>
        <w:t>konieczności zewnętrzny ekspert  spoza sektora naukowego.</w:t>
      </w:r>
      <w:r w:rsidR="00574C53">
        <w:rPr>
          <w:sz w:val="24"/>
          <w:szCs w:val="24"/>
        </w:rPr>
        <w:t xml:space="preserve"> </w:t>
      </w:r>
    </w:p>
    <w:p w:rsidR="00574C53" w:rsidRDefault="00CA1655" w:rsidP="009E3F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dokonuje oceny punktowej kandyd</w:t>
      </w:r>
      <w:r w:rsidR="006B6D5E">
        <w:rPr>
          <w:sz w:val="24"/>
          <w:szCs w:val="24"/>
        </w:rPr>
        <w:t>atów</w:t>
      </w:r>
      <w:r>
        <w:rPr>
          <w:sz w:val="24"/>
          <w:szCs w:val="24"/>
        </w:rPr>
        <w:t xml:space="preserve"> </w:t>
      </w:r>
      <w:r w:rsidR="00574C53">
        <w:rPr>
          <w:sz w:val="24"/>
          <w:szCs w:val="24"/>
        </w:rPr>
        <w:t>wspiera</w:t>
      </w:r>
      <w:r>
        <w:rPr>
          <w:sz w:val="24"/>
          <w:szCs w:val="24"/>
        </w:rPr>
        <w:t>jąc</w:t>
      </w:r>
      <w:r w:rsidR="00574C53">
        <w:rPr>
          <w:sz w:val="24"/>
          <w:szCs w:val="24"/>
        </w:rPr>
        <w:t xml:space="preserve"> się kartą oceny</w:t>
      </w:r>
      <w:r>
        <w:rPr>
          <w:sz w:val="24"/>
          <w:szCs w:val="24"/>
        </w:rPr>
        <w:t>,</w:t>
      </w:r>
      <w:r w:rsidR="00574C53">
        <w:rPr>
          <w:sz w:val="24"/>
          <w:szCs w:val="24"/>
        </w:rPr>
        <w:t xml:space="preserve"> podziel</w:t>
      </w:r>
      <w:r>
        <w:rPr>
          <w:sz w:val="24"/>
          <w:szCs w:val="24"/>
        </w:rPr>
        <w:t>oną</w:t>
      </w:r>
      <w:r w:rsidR="00574C53">
        <w:rPr>
          <w:sz w:val="24"/>
          <w:szCs w:val="24"/>
        </w:rPr>
        <w:t xml:space="preserve"> na pięć bloków</w:t>
      </w:r>
      <w:r>
        <w:rPr>
          <w:sz w:val="24"/>
          <w:szCs w:val="24"/>
        </w:rPr>
        <w:t xml:space="preserve"> tematycznych</w:t>
      </w:r>
      <w:r w:rsidR="006B6D5E">
        <w:rPr>
          <w:sz w:val="24"/>
          <w:szCs w:val="24"/>
        </w:rPr>
        <w:t>, pozwalających ocenić:</w:t>
      </w:r>
    </w:p>
    <w:p w:rsidR="001A4CAB" w:rsidRDefault="001A4CAB" w:rsidP="009E3FC6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zbieżność wykształcenia, dorobku/doświadczenia kandydata z kryteriami ogólnymi zawartymi w ogłoszeniu;</w:t>
      </w:r>
    </w:p>
    <w:p w:rsidR="001A4CAB" w:rsidRDefault="001A4CAB" w:rsidP="001A4CAB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zbieżność wykształcenia, dorobku/doświadczenia kandydata z planami badawczymi Instytutu;</w:t>
      </w:r>
    </w:p>
    <w:p w:rsidR="001A4CAB" w:rsidRDefault="001A4CAB" w:rsidP="001A4CAB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osiągnięcia naukowe kandydata/ w tym publikacje w renomowanych wydawnictwach, czasopismach naukowych/patenty</w:t>
      </w:r>
      <w:r w:rsidR="009E3FC6">
        <w:rPr>
          <w:sz w:val="24"/>
          <w:szCs w:val="24"/>
        </w:rPr>
        <w:t>;</w:t>
      </w:r>
    </w:p>
    <w:p w:rsidR="009E3FC6" w:rsidRDefault="009E3FC6" w:rsidP="001A4CAB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doświadczenie metodyczne kandydata/staże badawcze i szkoleniowe;</w:t>
      </w:r>
    </w:p>
    <w:p w:rsidR="009E3FC6" w:rsidRPr="001A4CAB" w:rsidRDefault="009E3FC6" w:rsidP="001A4CAB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wyróżnienia, nagrody/doświadczenie w pracy organizacyjnej.</w:t>
      </w:r>
    </w:p>
    <w:p w:rsidR="00FE0AB0" w:rsidRDefault="00CA1655" w:rsidP="001033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 z najwyższą liczbą punktów zapraszani są na rozmowę kwalifikacyjną.                                W przypadku cudzoziemców </w:t>
      </w:r>
      <w:r w:rsidR="00506D20">
        <w:rPr>
          <w:sz w:val="24"/>
          <w:szCs w:val="24"/>
        </w:rPr>
        <w:t xml:space="preserve">lub osób niepełnosprawnych, rozmowa przeprowadzana jest </w:t>
      </w:r>
      <w:r w:rsidR="0010338E">
        <w:rPr>
          <w:sz w:val="24"/>
          <w:szCs w:val="24"/>
        </w:rPr>
        <w:t xml:space="preserve">      </w:t>
      </w:r>
      <w:r w:rsidR="00506D20">
        <w:rPr>
          <w:sz w:val="24"/>
          <w:szCs w:val="24"/>
        </w:rPr>
        <w:t xml:space="preserve">na </w:t>
      </w:r>
      <w:proofErr w:type="spellStart"/>
      <w:r w:rsidR="00506D20">
        <w:rPr>
          <w:sz w:val="24"/>
          <w:szCs w:val="24"/>
        </w:rPr>
        <w:t>Skype</w:t>
      </w:r>
      <w:proofErr w:type="spellEnd"/>
      <w:r w:rsidR="00506D20">
        <w:rPr>
          <w:sz w:val="24"/>
          <w:szCs w:val="24"/>
        </w:rPr>
        <w:t>. Rozmowa z cudzoziemcami odbywa się w języku angielskim.</w:t>
      </w:r>
      <w:r w:rsidR="00FE0AB0">
        <w:rPr>
          <w:sz w:val="24"/>
          <w:szCs w:val="24"/>
        </w:rPr>
        <w:t xml:space="preserve"> Po przeprowadzeniu rozmowy kwalifikacyjnej i wyłonieniu kandydata rekomendowane</w:t>
      </w:r>
      <w:r w:rsidR="009E3FC6">
        <w:rPr>
          <w:sz w:val="24"/>
          <w:szCs w:val="24"/>
        </w:rPr>
        <w:t xml:space="preserve">go </w:t>
      </w:r>
      <w:r w:rsidR="00FE0AB0">
        <w:rPr>
          <w:sz w:val="24"/>
          <w:szCs w:val="24"/>
        </w:rPr>
        <w:t xml:space="preserve">na dane stanowisko pracy sporządzany jest protokół z przebiegu konkursu. </w:t>
      </w:r>
      <w:r w:rsidR="001A4CAB">
        <w:rPr>
          <w:sz w:val="24"/>
          <w:szCs w:val="24"/>
        </w:rPr>
        <w:t xml:space="preserve"> </w:t>
      </w:r>
      <w:r w:rsidR="008B62A5">
        <w:rPr>
          <w:sz w:val="24"/>
          <w:szCs w:val="24"/>
        </w:rPr>
        <w:t xml:space="preserve">Podpisany przez </w:t>
      </w:r>
      <w:r w:rsidR="00FE0AB0">
        <w:rPr>
          <w:sz w:val="24"/>
          <w:szCs w:val="24"/>
        </w:rPr>
        <w:t xml:space="preserve">członków komisji </w:t>
      </w:r>
      <w:r w:rsidR="008B62A5">
        <w:rPr>
          <w:sz w:val="24"/>
          <w:szCs w:val="24"/>
        </w:rPr>
        <w:t>konkursowej protokół zatwierdzany jest przez dyrektora Instytutu. Proces kończy się przedstawieniem kandydata dyrektorowi Instytutu.</w:t>
      </w:r>
    </w:p>
    <w:p w:rsidR="0010338E" w:rsidRDefault="0010338E" w:rsidP="0010338E">
      <w:pPr>
        <w:spacing w:after="0"/>
        <w:jc w:val="both"/>
        <w:rPr>
          <w:sz w:val="24"/>
          <w:szCs w:val="24"/>
        </w:rPr>
      </w:pPr>
    </w:p>
    <w:p w:rsidR="00484B74" w:rsidRPr="00FF1DE4" w:rsidRDefault="00C84AE4" w:rsidP="00484B74">
      <w:pPr>
        <w:jc w:val="both"/>
        <w:rPr>
          <w:b/>
          <w:color w:val="0F243E" w:themeColor="text2" w:themeShade="80"/>
          <w:sz w:val="24"/>
          <w:szCs w:val="24"/>
        </w:rPr>
      </w:pPr>
      <w:r w:rsidRPr="00FF1DE4">
        <w:rPr>
          <w:b/>
          <w:color w:val="0F243E" w:themeColor="text2" w:themeShade="80"/>
          <w:sz w:val="24"/>
          <w:szCs w:val="24"/>
        </w:rPr>
        <w:t xml:space="preserve">Etap IV - </w:t>
      </w:r>
      <w:r w:rsidR="00484B74" w:rsidRPr="00FF1DE4">
        <w:rPr>
          <w:b/>
          <w:color w:val="0F243E" w:themeColor="text2" w:themeShade="80"/>
          <w:sz w:val="24"/>
          <w:szCs w:val="24"/>
        </w:rPr>
        <w:t xml:space="preserve"> </w:t>
      </w:r>
      <w:r w:rsidRPr="00FF1DE4">
        <w:rPr>
          <w:b/>
          <w:color w:val="0F243E" w:themeColor="text2" w:themeShade="80"/>
          <w:sz w:val="24"/>
          <w:szCs w:val="24"/>
        </w:rPr>
        <w:t>ogłoszenie</w:t>
      </w:r>
      <w:r w:rsidR="00484B74" w:rsidRPr="00FF1DE4">
        <w:rPr>
          <w:b/>
          <w:color w:val="0F243E" w:themeColor="text2" w:themeShade="80"/>
          <w:sz w:val="24"/>
          <w:szCs w:val="24"/>
        </w:rPr>
        <w:t xml:space="preserve"> wynik</w:t>
      </w:r>
      <w:r w:rsidRPr="00FF1DE4">
        <w:rPr>
          <w:b/>
          <w:color w:val="0F243E" w:themeColor="text2" w:themeShade="80"/>
          <w:sz w:val="24"/>
          <w:szCs w:val="24"/>
        </w:rPr>
        <w:t>ów</w:t>
      </w:r>
      <w:r w:rsidR="00484B74" w:rsidRPr="00FF1DE4">
        <w:rPr>
          <w:b/>
          <w:color w:val="0F243E" w:themeColor="text2" w:themeShade="80"/>
          <w:sz w:val="24"/>
          <w:szCs w:val="24"/>
        </w:rPr>
        <w:t xml:space="preserve"> konkursu</w:t>
      </w:r>
    </w:p>
    <w:p w:rsidR="0010338E" w:rsidRDefault="0010338E" w:rsidP="00484B74">
      <w:pPr>
        <w:jc w:val="both"/>
        <w:rPr>
          <w:sz w:val="24"/>
          <w:szCs w:val="24"/>
        </w:rPr>
      </w:pPr>
      <w:r>
        <w:rPr>
          <w:sz w:val="24"/>
          <w:szCs w:val="24"/>
        </w:rPr>
        <w:t>Wyniki konkursu publikowane są na stronie Instytutu w wersji polskiej i angielskiej.  Kandydaci aplikujący na dane stanowisko pracy otrzymują również informacje o dobrych                   i złych stronach swojej kandydatury. Każdemu kandydatowi przysługuje prawo odwołania się od wyników konkursu w terminie 7 dni od daty ich publikacji na stronie internetowej Instytutu. Odwołanie składa się do przewodniczącego komisji konkursowej. Wzór odwołania dostępny jest na stronie Instytutu.</w:t>
      </w:r>
    </w:p>
    <w:p w:rsidR="00C84AE4" w:rsidRPr="00FF1DE4" w:rsidRDefault="00C84AE4" w:rsidP="00484B74">
      <w:pPr>
        <w:jc w:val="both"/>
        <w:rPr>
          <w:b/>
          <w:color w:val="0F243E" w:themeColor="text2" w:themeShade="80"/>
          <w:sz w:val="24"/>
          <w:szCs w:val="24"/>
        </w:rPr>
      </w:pPr>
      <w:r w:rsidRPr="00FF1DE4">
        <w:rPr>
          <w:b/>
          <w:color w:val="0F243E" w:themeColor="text2" w:themeShade="80"/>
          <w:sz w:val="24"/>
          <w:szCs w:val="24"/>
        </w:rPr>
        <w:t>Etap V – wprowadzenie kandydata do pracy, adaptacja pracownika w nowym środowisku pracy</w:t>
      </w:r>
    </w:p>
    <w:p w:rsidR="00655696" w:rsidRDefault="00C73A6F" w:rsidP="00C84A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84AE4">
        <w:rPr>
          <w:rFonts w:cstheme="minorHAnsi"/>
          <w:sz w:val="24"/>
          <w:szCs w:val="24"/>
        </w:rPr>
        <w:t>Proce</w:t>
      </w:r>
      <w:r w:rsidR="00C84AE4">
        <w:rPr>
          <w:rFonts w:cstheme="minorHAnsi"/>
          <w:sz w:val="24"/>
          <w:szCs w:val="24"/>
        </w:rPr>
        <w:t xml:space="preserve">s </w:t>
      </w:r>
      <w:r w:rsidR="00A0201B">
        <w:rPr>
          <w:rFonts w:cstheme="minorHAnsi"/>
          <w:sz w:val="24"/>
          <w:szCs w:val="24"/>
        </w:rPr>
        <w:t>doboru</w:t>
      </w:r>
      <w:r w:rsidRPr="00C84AE4">
        <w:rPr>
          <w:rFonts w:cstheme="minorHAnsi"/>
          <w:sz w:val="24"/>
          <w:szCs w:val="24"/>
        </w:rPr>
        <w:t xml:space="preserve"> nowego pracownika </w:t>
      </w:r>
      <w:r w:rsidR="00C84AE4">
        <w:rPr>
          <w:rFonts w:cstheme="minorHAnsi"/>
          <w:sz w:val="24"/>
          <w:szCs w:val="24"/>
        </w:rPr>
        <w:t>kończy się</w:t>
      </w:r>
      <w:r w:rsidR="00A0201B">
        <w:rPr>
          <w:rFonts w:cstheme="minorHAnsi"/>
          <w:sz w:val="24"/>
          <w:szCs w:val="24"/>
        </w:rPr>
        <w:t xml:space="preserve"> wprowadzeniem </w:t>
      </w:r>
      <w:r w:rsidRPr="00C84AE4">
        <w:rPr>
          <w:rFonts w:cstheme="minorHAnsi"/>
          <w:sz w:val="24"/>
          <w:szCs w:val="24"/>
        </w:rPr>
        <w:t>na</w:t>
      </w:r>
      <w:r w:rsidR="00C84AE4">
        <w:rPr>
          <w:rFonts w:cstheme="minorHAnsi"/>
          <w:sz w:val="24"/>
          <w:szCs w:val="24"/>
        </w:rPr>
        <w:t xml:space="preserve"> </w:t>
      </w:r>
      <w:r w:rsidRPr="00C84AE4">
        <w:rPr>
          <w:rFonts w:cstheme="minorHAnsi"/>
          <w:sz w:val="24"/>
          <w:szCs w:val="24"/>
        </w:rPr>
        <w:t>stanowisko pracy.</w:t>
      </w:r>
      <w:r w:rsidR="00A0201B">
        <w:rPr>
          <w:rFonts w:cstheme="minorHAnsi"/>
          <w:sz w:val="24"/>
          <w:szCs w:val="24"/>
        </w:rPr>
        <w:t xml:space="preserve">                    Etap</w:t>
      </w:r>
      <w:r w:rsidRPr="00C84AE4">
        <w:rPr>
          <w:rFonts w:cstheme="minorHAnsi"/>
          <w:sz w:val="24"/>
          <w:szCs w:val="24"/>
        </w:rPr>
        <w:t xml:space="preserve"> ten obejmuje</w:t>
      </w:r>
      <w:r w:rsidR="00655696">
        <w:rPr>
          <w:rFonts w:cstheme="minorHAnsi"/>
          <w:sz w:val="24"/>
          <w:szCs w:val="24"/>
        </w:rPr>
        <w:t>:</w:t>
      </w:r>
    </w:p>
    <w:p w:rsidR="00A0201B" w:rsidRPr="00655696" w:rsidRDefault="00A0201B" w:rsidP="00C84A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696">
        <w:rPr>
          <w:rFonts w:cstheme="minorHAnsi"/>
          <w:sz w:val="24"/>
          <w:szCs w:val="24"/>
        </w:rPr>
        <w:t xml:space="preserve">skierowanie </w:t>
      </w:r>
      <w:r w:rsidR="00655696">
        <w:rPr>
          <w:rFonts w:cstheme="minorHAnsi"/>
          <w:sz w:val="24"/>
          <w:szCs w:val="24"/>
        </w:rPr>
        <w:t>kandydata na wstępne badania l</w:t>
      </w:r>
      <w:r w:rsidRPr="00655696">
        <w:rPr>
          <w:rFonts w:cstheme="minorHAnsi"/>
          <w:sz w:val="24"/>
          <w:szCs w:val="24"/>
        </w:rPr>
        <w:t>ekarskie;</w:t>
      </w:r>
    </w:p>
    <w:p w:rsidR="00A0201B" w:rsidRDefault="00655696" w:rsidP="00A020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z zasadami bezpieczeństwa i higieny pracy;</w:t>
      </w:r>
    </w:p>
    <w:p w:rsidR="00C73A6F" w:rsidRDefault="00655696" w:rsidP="00C84A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zapoznanie z </w:t>
      </w:r>
      <w:r w:rsidR="00C73A6F" w:rsidRPr="00655696">
        <w:rPr>
          <w:rFonts w:cstheme="minorHAnsi"/>
          <w:sz w:val="24"/>
          <w:szCs w:val="24"/>
        </w:rPr>
        <w:t>przepis</w:t>
      </w:r>
      <w:r>
        <w:rPr>
          <w:rFonts w:cstheme="minorHAnsi"/>
          <w:sz w:val="24"/>
          <w:szCs w:val="24"/>
        </w:rPr>
        <w:t>ami</w:t>
      </w:r>
      <w:r w:rsidR="00C84AE4" w:rsidRPr="00655696">
        <w:rPr>
          <w:rFonts w:cstheme="minorHAnsi"/>
          <w:sz w:val="24"/>
          <w:szCs w:val="24"/>
        </w:rPr>
        <w:t xml:space="preserve"> wewnętrzny</w:t>
      </w:r>
      <w:r>
        <w:rPr>
          <w:rFonts w:cstheme="minorHAnsi"/>
          <w:sz w:val="24"/>
          <w:szCs w:val="24"/>
        </w:rPr>
        <w:t>mi</w:t>
      </w:r>
      <w:r w:rsidR="00C84AE4" w:rsidRPr="00655696">
        <w:rPr>
          <w:rFonts w:cstheme="minorHAnsi"/>
          <w:sz w:val="24"/>
          <w:szCs w:val="24"/>
        </w:rPr>
        <w:t xml:space="preserve"> obowiązujący</w:t>
      </w:r>
      <w:r>
        <w:rPr>
          <w:rFonts w:cstheme="minorHAnsi"/>
          <w:sz w:val="24"/>
          <w:szCs w:val="24"/>
        </w:rPr>
        <w:t>mi</w:t>
      </w:r>
      <w:r w:rsidR="00C84AE4" w:rsidRPr="00655696">
        <w:rPr>
          <w:rFonts w:cstheme="minorHAnsi"/>
          <w:sz w:val="24"/>
          <w:szCs w:val="24"/>
        </w:rPr>
        <w:t xml:space="preserve"> w Instytucie;</w:t>
      </w:r>
    </w:p>
    <w:p w:rsidR="00655696" w:rsidRDefault="00655696" w:rsidP="00C84A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z warunkami pracy;</w:t>
      </w:r>
    </w:p>
    <w:p w:rsidR="00655696" w:rsidRDefault="00655696" w:rsidP="00C84A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z zakresem obowiązków i organizacją pracy;</w:t>
      </w:r>
    </w:p>
    <w:p w:rsidR="00C51FD7" w:rsidRPr="00EE07E9" w:rsidRDefault="00655696" w:rsidP="00EE07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</w:t>
      </w:r>
      <w:bookmarkStart w:id="0" w:name="_GoBack"/>
      <w:bookmarkEnd w:id="0"/>
      <w:r>
        <w:rPr>
          <w:rFonts w:cstheme="minorHAnsi"/>
          <w:sz w:val="24"/>
          <w:szCs w:val="24"/>
        </w:rPr>
        <w:t>e z zespołem.</w:t>
      </w:r>
      <w:r w:rsidR="0010338E" w:rsidRPr="00655696">
        <w:rPr>
          <w:sz w:val="24"/>
          <w:szCs w:val="24"/>
        </w:rPr>
        <w:t xml:space="preserve">     </w:t>
      </w:r>
    </w:p>
    <w:sectPr w:rsidR="00C51FD7" w:rsidRPr="00EE07E9" w:rsidSect="00FC2DC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24" w:rsidRDefault="00107624" w:rsidP="0010338E">
      <w:pPr>
        <w:spacing w:after="0" w:line="240" w:lineRule="auto"/>
      </w:pPr>
      <w:r>
        <w:separator/>
      </w:r>
    </w:p>
  </w:endnote>
  <w:endnote w:type="continuationSeparator" w:id="0">
    <w:p w:rsidR="00107624" w:rsidRDefault="00107624" w:rsidP="0010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A4" w:rsidRDefault="006F76A4">
    <w:pPr>
      <w:pStyle w:val="Stopka"/>
      <w:jc w:val="right"/>
    </w:pPr>
  </w:p>
  <w:p w:rsidR="006F76A4" w:rsidRDefault="006F7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24" w:rsidRDefault="00107624" w:rsidP="0010338E">
      <w:pPr>
        <w:spacing w:after="0" w:line="240" w:lineRule="auto"/>
      </w:pPr>
      <w:r>
        <w:separator/>
      </w:r>
    </w:p>
  </w:footnote>
  <w:footnote w:type="continuationSeparator" w:id="0">
    <w:p w:rsidR="00107624" w:rsidRDefault="00107624" w:rsidP="0010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9B7"/>
    <w:multiLevelType w:val="hybridMultilevel"/>
    <w:tmpl w:val="390AC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4C5"/>
    <w:multiLevelType w:val="hybridMultilevel"/>
    <w:tmpl w:val="D05A9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4188"/>
    <w:multiLevelType w:val="hybridMultilevel"/>
    <w:tmpl w:val="7A28D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6D59"/>
    <w:multiLevelType w:val="hybridMultilevel"/>
    <w:tmpl w:val="3412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7438"/>
    <w:multiLevelType w:val="hybridMultilevel"/>
    <w:tmpl w:val="A69E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712D"/>
    <w:multiLevelType w:val="hybridMultilevel"/>
    <w:tmpl w:val="1B0CE7BE"/>
    <w:lvl w:ilvl="0" w:tplc="A20AE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7D34"/>
    <w:multiLevelType w:val="hybridMultilevel"/>
    <w:tmpl w:val="2DFE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F78E1"/>
    <w:multiLevelType w:val="hybridMultilevel"/>
    <w:tmpl w:val="45DE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66945"/>
    <w:multiLevelType w:val="hybridMultilevel"/>
    <w:tmpl w:val="9DBA6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0A5599"/>
    <w:multiLevelType w:val="hybridMultilevel"/>
    <w:tmpl w:val="473AE7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502D3A"/>
    <w:multiLevelType w:val="hybridMultilevel"/>
    <w:tmpl w:val="AD14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D5E6E"/>
    <w:multiLevelType w:val="hybridMultilevel"/>
    <w:tmpl w:val="390AC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D017D"/>
    <w:multiLevelType w:val="hybridMultilevel"/>
    <w:tmpl w:val="A5146190"/>
    <w:lvl w:ilvl="0" w:tplc="4CAA9F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B0B0B"/>
    <w:multiLevelType w:val="hybridMultilevel"/>
    <w:tmpl w:val="3412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55033"/>
    <w:multiLevelType w:val="hybridMultilevel"/>
    <w:tmpl w:val="0E285DC2"/>
    <w:lvl w:ilvl="0" w:tplc="C56A0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B70FA"/>
    <w:multiLevelType w:val="hybridMultilevel"/>
    <w:tmpl w:val="ECC6237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5037"/>
    <w:multiLevelType w:val="hybridMultilevel"/>
    <w:tmpl w:val="24C4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30436"/>
    <w:multiLevelType w:val="hybridMultilevel"/>
    <w:tmpl w:val="610C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06DB5"/>
    <w:multiLevelType w:val="hybridMultilevel"/>
    <w:tmpl w:val="DE46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A94AFB"/>
    <w:multiLevelType w:val="hybridMultilevel"/>
    <w:tmpl w:val="7838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17"/>
  </w:num>
  <w:num w:numId="15">
    <w:abstractNumId w:val="19"/>
  </w:num>
  <w:num w:numId="16">
    <w:abstractNumId w:val="9"/>
  </w:num>
  <w:num w:numId="17">
    <w:abstractNumId w:val="6"/>
  </w:num>
  <w:num w:numId="18">
    <w:abstractNumId w:val="10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C2DC5"/>
    <w:rsid w:val="00071C6E"/>
    <w:rsid w:val="000D730E"/>
    <w:rsid w:val="000F14EC"/>
    <w:rsid w:val="000F4977"/>
    <w:rsid w:val="0010338E"/>
    <w:rsid w:val="00107624"/>
    <w:rsid w:val="00123C31"/>
    <w:rsid w:val="00142F17"/>
    <w:rsid w:val="00146373"/>
    <w:rsid w:val="00163A84"/>
    <w:rsid w:val="00185B38"/>
    <w:rsid w:val="001928E9"/>
    <w:rsid w:val="001A4CAB"/>
    <w:rsid w:val="001D460E"/>
    <w:rsid w:val="00210DEA"/>
    <w:rsid w:val="00253075"/>
    <w:rsid w:val="00260CF4"/>
    <w:rsid w:val="00270AB5"/>
    <w:rsid w:val="00290F17"/>
    <w:rsid w:val="002B6352"/>
    <w:rsid w:val="00315F98"/>
    <w:rsid w:val="003F745A"/>
    <w:rsid w:val="00414698"/>
    <w:rsid w:val="0043160C"/>
    <w:rsid w:val="0046005D"/>
    <w:rsid w:val="004661D6"/>
    <w:rsid w:val="00484B74"/>
    <w:rsid w:val="005067D3"/>
    <w:rsid w:val="00506D20"/>
    <w:rsid w:val="00540D2F"/>
    <w:rsid w:val="00574C53"/>
    <w:rsid w:val="00581B35"/>
    <w:rsid w:val="005C35A4"/>
    <w:rsid w:val="0063586F"/>
    <w:rsid w:val="0064111D"/>
    <w:rsid w:val="0064113D"/>
    <w:rsid w:val="00650BAE"/>
    <w:rsid w:val="00655696"/>
    <w:rsid w:val="00671C09"/>
    <w:rsid w:val="006B6D5E"/>
    <w:rsid w:val="006C77A9"/>
    <w:rsid w:val="006F76A4"/>
    <w:rsid w:val="007C24FC"/>
    <w:rsid w:val="007D4436"/>
    <w:rsid w:val="00807A9D"/>
    <w:rsid w:val="008126F9"/>
    <w:rsid w:val="008B62A5"/>
    <w:rsid w:val="009835DF"/>
    <w:rsid w:val="009D7A82"/>
    <w:rsid w:val="009E3FC6"/>
    <w:rsid w:val="00A0201B"/>
    <w:rsid w:val="00A77C69"/>
    <w:rsid w:val="00B02F17"/>
    <w:rsid w:val="00B14373"/>
    <w:rsid w:val="00B6057B"/>
    <w:rsid w:val="00B76BE3"/>
    <w:rsid w:val="00B87F40"/>
    <w:rsid w:val="00BD5274"/>
    <w:rsid w:val="00C12966"/>
    <w:rsid w:val="00C51FD7"/>
    <w:rsid w:val="00C73A6F"/>
    <w:rsid w:val="00C84AE4"/>
    <w:rsid w:val="00CA1655"/>
    <w:rsid w:val="00CD6EAB"/>
    <w:rsid w:val="00CE57B8"/>
    <w:rsid w:val="00D27CBA"/>
    <w:rsid w:val="00DD1EA3"/>
    <w:rsid w:val="00DE5525"/>
    <w:rsid w:val="00DF783F"/>
    <w:rsid w:val="00E037F3"/>
    <w:rsid w:val="00EC651B"/>
    <w:rsid w:val="00EE07E9"/>
    <w:rsid w:val="00F0712F"/>
    <w:rsid w:val="00F76830"/>
    <w:rsid w:val="00F83EAD"/>
    <w:rsid w:val="00F95FB2"/>
    <w:rsid w:val="00FA64D1"/>
    <w:rsid w:val="00FC2DC5"/>
    <w:rsid w:val="00FC7321"/>
    <w:rsid w:val="00FC75D9"/>
    <w:rsid w:val="00FE0AB0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7" type="connector" idref="#_x0000_s1035"/>
        <o:r id="V:Rule8" type="connector" idref="#_x0000_s1037"/>
        <o:r id="V:Rule9" type="connector" idref="#_x0000_s1045"/>
        <o:r id="V:Rule10" type="connector" idref="#_x0000_s1038"/>
        <o:r id="V:Rule11" type="connector" idref="#_x0000_s1041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2DC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2DC5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637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C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C53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C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33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3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35"/>
  </w:style>
  <w:style w:type="paragraph" w:styleId="Stopka">
    <w:name w:val="footer"/>
    <w:basedOn w:val="Normalny"/>
    <w:link w:val="StopkaZnak"/>
    <w:uiPriority w:val="99"/>
    <w:unhideWhenUsed/>
    <w:rsid w:val="0058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2019-02-19T00:00:00</PublishDate>
  <Abstract>Otwarta, przejrzysta i oparta na osiągnięciach rekrutacja zapewnia równe szanse dla wszystkich kandydatów  i ułatwia mobilność, a to sprawia, że kariera naukowa jest atrakcyjniejsza.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F6377A-23D0-4740-8DED-59D131D5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OTM-R      Zasady otwartych i przejrzystych procesów rekrutacji opartych na  kwalifikacjach kandydata</vt:lpstr>
    </vt:vector>
  </TitlesOfParts>
  <Company>HP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otwartych i przejrzystych procesów rekrutacji opartych na  kwalifikacjach kandydata</dc:title>
  <dc:subject>Open, Transparent and Merit-based Recruitment</dc:subject>
  <dc:creator>MARZEC 2019</dc:creator>
  <cp:lastModifiedBy>HP</cp:lastModifiedBy>
  <cp:revision>11</cp:revision>
  <cp:lastPrinted>2019-02-28T09:36:00Z</cp:lastPrinted>
  <dcterms:created xsi:type="dcterms:W3CDTF">2019-02-28T09:35:00Z</dcterms:created>
  <dcterms:modified xsi:type="dcterms:W3CDTF">2019-03-08T11:35:00Z</dcterms:modified>
</cp:coreProperties>
</file>