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2C" w:rsidRPr="00FD4961" w:rsidRDefault="00830F2C">
      <w:pPr>
        <w:pStyle w:val="Tekstpodstawowy"/>
        <w:spacing w:before="9"/>
        <w:rPr>
          <w:rFonts w:ascii="Times New Roman"/>
          <w:b w:val="0"/>
          <w:sz w:val="28"/>
          <w:u w:val="none"/>
        </w:rPr>
      </w:pPr>
    </w:p>
    <w:p w:rsidR="00830F2C" w:rsidRPr="00FD4961" w:rsidRDefault="009C47FE">
      <w:pPr>
        <w:pStyle w:val="Tekstpodstawowy"/>
        <w:spacing w:line="711" w:lineRule="exact"/>
        <w:ind w:left="1946"/>
        <w:rPr>
          <w:u w:val="none"/>
        </w:rPr>
      </w:pPr>
      <w:r w:rsidRPr="009C47FE">
        <w:pict>
          <v:group id="1159" o:spid="_x0000_s1026" style="position:absolute;left:0;text-align:left;margin-left:264.95pt;margin-top:41.75pt;width:349.45pt;height:158.95pt;z-index:1048;mso-wrap-distance-left:0;mso-wrap-distance-right:0;mso-position-horizontal-relative:page" coordorigin="5299,835" coordsize="6989,31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462" o:spid="_x0000_s1028" type="#_x0000_t75" style="position:absolute;left:5299;top:1017;width:6989;height:299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1813" o:spid="_x0000_s1027" type="#_x0000_t202" style="position:absolute;left:5299;top:834;width:6989;height:3179" filled="f" stroked="f">
              <v:textbox inset="0,0,0,0">
                <w:txbxContent>
                  <w:p w:rsidR="00830F2C" w:rsidRDefault="004C5AD8">
                    <w:pPr>
                      <w:spacing w:line="463" w:lineRule="exact"/>
                      <w:ind w:left="754" w:right="1504"/>
                      <w:jc w:val="center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00AFEF"/>
                        <w:sz w:val="60"/>
                      </w:rPr>
                      <w:t>badaczy</w:t>
                    </w:r>
                  </w:p>
                  <w:p w:rsidR="00830F2C" w:rsidRDefault="00053C34">
                    <w:pPr>
                      <w:spacing w:line="1590" w:lineRule="exact"/>
                      <w:ind w:left="754" w:right="1504"/>
                      <w:jc w:val="center"/>
                      <w:rPr>
                        <w:rFonts w:ascii="Tahoma"/>
                        <w:sz w:val="144"/>
                      </w:rPr>
                    </w:pPr>
                    <w:proofErr w:type="spellStart"/>
                    <w:r>
                      <w:rPr>
                        <w:rFonts w:ascii="Tahoma"/>
                        <w:sz w:val="144"/>
                      </w:rPr>
                      <w:t>OTM-R</w:t>
                    </w:r>
                    <w:proofErr w:type="spellEnd"/>
                  </w:p>
                  <w:p w:rsidR="00830F2C" w:rsidRDefault="004C5AD8" w:rsidP="00D42C79">
                    <w:pPr>
                      <w:spacing w:before="546"/>
                      <w:ind w:left="754" w:right="758" w:hanging="61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sz w:val="40"/>
                        <w:u w:val="thick"/>
                      </w:rPr>
                      <w:t>Lista kontrolna dla instytucji</w:t>
                    </w:r>
                  </w:p>
                </w:txbxContent>
              </v:textbox>
            </v:shape>
            <w10:wrap type="topAndBottom" anchorx="page"/>
          </v:group>
        </w:pict>
      </w:r>
      <w:r w:rsidR="004C5AD8" w:rsidRPr="00FD4961">
        <w:rPr>
          <w:color w:val="00AFEF"/>
          <w:u w:val="thick" w:color="00AFEF"/>
        </w:rPr>
        <w:t>O</w:t>
      </w:r>
      <w:r w:rsidR="004C5AD8" w:rsidRPr="00FD4961">
        <w:rPr>
          <w:color w:val="00AFEF"/>
          <w:u w:val="none"/>
        </w:rPr>
        <w:t xml:space="preserve">twarta, </w:t>
      </w:r>
      <w:r w:rsidR="004C5AD8" w:rsidRPr="00FD4961">
        <w:rPr>
          <w:color w:val="00AFEF"/>
        </w:rPr>
        <w:t>p</w:t>
      </w:r>
      <w:r w:rsidR="004C5AD8" w:rsidRPr="00FD4961">
        <w:rPr>
          <w:color w:val="00AFEF"/>
          <w:u w:val="none"/>
        </w:rPr>
        <w:t xml:space="preserve">rzejrzysta i oparta na </w:t>
      </w:r>
      <w:r w:rsidR="004C5AD8" w:rsidRPr="00FD4961">
        <w:rPr>
          <w:color w:val="00AFEF"/>
        </w:rPr>
        <w:t>o</w:t>
      </w:r>
      <w:r w:rsidR="004C5AD8" w:rsidRPr="00FD4961">
        <w:rPr>
          <w:color w:val="00AFEF"/>
          <w:u w:val="none"/>
        </w:rPr>
        <w:t xml:space="preserve">siągnięciach </w:t>
      </w:r>
      <w:r w:rsidR="004C5AD8" w:rsidRPr="00FD4961">
        <w:rPr>
          <w:color w:val="00AFEF"/>
        </w:rPr>
        <w:t>r</w:t>
      </w:r>
      <w:r w:rsidR="004C5AD8" w:rsidRPr="00FD4961">
        <w:rPr>
          <w:color w:val="00AFEF"/>
          <w:u w:val="none"/>
        </w:rPr>
        <w:t>ekrutacja</w:t>
      </w:r>
    </w:p>
    <w:p w:rsidR="00830F2C" w:rsidRPr="00FD4961" w:rsidRDefault="00830F2C">
      <w:pPr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7"/>
        <w:gridCol w:w="850"/>
        <w:gridCol w:w="1092"/>
        <w:gridCol w:w="1320"/>
        <w:gridCol w:w="2160"/>
        <w:gridCol w:w="4642"/>
      </w:tblGrid>
      <w:tr w:rsidR="00830F2C" w:rsidRPr="00FD4961" w:rsidTr="000B68B6">
        <w:trPr>
          <w:trHeight w:val="1075"/>
        </w:trPr>
        <w:tc>
          <w:tcPr>
            <w:tcW w:w="5847" w:type="dxa"/>
          </w:tcPr>
          <w:p w:rsidR="00830F2C" w:rsidRPr="00FD4961" w:rsidRDefault="00830F2C">
            <w:pPr>
              <w:pStyle w:val="TableParagraph"/>
              <w:rPr>
                <w:rFonts w:ascii="Times New Roman"/>
                <w:sz w:val="26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30F2C" w:rsidRPr="00FD4961" w:rsidRDefault="004C5AD8" w:rsidP="00104C40">
            <w:pPr>
              <w:pStyle w:val="TableParagraph"/>
              <w:spacing w:line="265" w:lineRule="exact"/>
              <w:ind w:right="77"/>
              <w:jc w:val="center"/>
              <w:rPr>
                <w:b/>
              </w:rPr>
            </w:pPr>
            <w:r w:rsidRPr="00FD4961">
              <w:rPr>
                <w:b/>
              </w:rPr>
              <w:t>Otwarty</w:t>
            </w:r>
          </w:p>
        </w:tc>
        <w:tc>
          <w:tcPr>
            <w:tcW w:w="1092" w:type="dxa"/>
          </w:tcPr>
          <w:p w:rsidR="00830F2C" w:rsidRPr="00FD4961" w:rsidRDefault="004C5AD8" w:rsidP="00104C40">
            <w:pPr>
              <w:pStyle w:val="TableParagraph"/>
              <w:spacing w:line="265" w:lineRule="exact"/>
              <w:ind w:right="77"/>
              <w:jc w:val="center"/>
              <w:rPr>
                <w:b/>
              </w:rPr>
            </w:pPr>
            <w:r w:rsidRPr="00FD4961">
              <w:rPr>
                <w:b/>
              </w:rPr>
              <w:t>Przejrzysty</w:t>
            </w:r>
          </w:p>
        </w:tc>
        <w:tc>
          <w:tcPr>
            <w:tcW w:w="1320" w:type="dxa"/>
          </w:tcPr>
          <w:p w:rsidR="00830F2C" w:rsidRPr="00FD4961" w:rsidRDefault="004C5AD8" w:rsidP="00104C40">
            <w:pPr>
              <w:pStyle w:val="TableParagraph"/>
              <w:spacing w:line="265" w:lineRule="exact"/>
              <w:ind w:right="77"/>
              <w:jc w:val="center"/>
              <w:rPr>
                <w:b/>
              </w:rPr>
            </w:pPr>
            <w:r w:rsidRPr="00FD4961">
              <w:rPr>
                <w:b/>
              </w:rPr>
              <w:t>Oparty na osiągnięciach</w:t>
            </w:r>
          </w:p>
        </w:tc>
        <w:tc>
          <w:tcPr>
            <w:tcW w:w="2160" w:type="dxa"/>
          </w:tcPr>
          <w:p w:rsidR="00830F2C" w:rsidRPr="00FD4961" w:rsidRDefault="004C5AD8" w:rsidP="00B544FE">
            <w:pPr>
              <w:pStyle w:val="TableParagraph"/>
              <w:spacing w:line="265" w:lineRule="exact"/>
              <w:jc w:val="center"/>
              <w:rPr>
                <w:b/>
              </w:rPr>
            </w:pPr>
            <w:r w:rsidRPr="00FD4961">
              <w:rPr>
                <w:b/>
              </w:rPr>
              <w:t>Odpowiedź:</w:t>
            </w:r>
          </w:p>
          <w:p w:rsidR="00830F2C" w:rsidRPr="00FD4961" w:rsidRDefault="004C5AD8" w:rsidP="00104C40">
            <w:pPr>
              <w:pStyle w:val="TableParagraph"/>
              <w:spacing w:line="265" w:lineRule="exact"/>
              <w:ind w:right="77"/>
              <w:jc w:val="center"/>
              <w:rPr>
                <w:b/>
                <w:i/>
              </w:rPr>
            </w:pPr>
            <w:r w:rsidRPr="00FD4961">
              <w:rPr>
                <w:b/>
              </w:rPr>
              <w:t>Tak, całkowicie</w:t>
            </w:r>
            <w:r w:rsidR="00104C40" w:rsidRPr="00FD4961">
              <w:rPr>
                <w:b/>
              </w:rPr>
              <w:t xml:space="preserve"> </w:t>
            </w:r>
            <w:r w:rsidRPr="00FD4961">
              <w:rPr>
                <w:b/>
              </w:rPr>
              <w:t>/</w:t>
            </w:r>
            <w:r w:rsidR="00104C40" w:rsidRPr="00FD4961">
              <w:rPr>
                <w:b/>
              </w:rPr>
              <w:t xml:space="preserve"> </w:t>
            </w:r>
            <w:r w:rsidRPr="00FD4961">
              <w:rPr>
                <w:b/>
              </w:rPr>
              <w:t>Tak, w znacznym stopniu</w:t>
            </w:r>
            <w:r w:rsidR="00104C40" w:rsidRPr="00FD4961">
              <w:rPr>
                <w:b/>
              </w:rPr>
              <w:t xml:space="preserve"> </w:t>
            </w:r>
            <w:r w:rsidRPr="00FD4961">
              <w:rPr>
                <w:b/>
              </w:rPr>
              <w:t>/</w:t>
            </w:r>
            <w:r w:rsidR="00104C40" w:rsidRPr="00FD4961">
              <w:rPr>
                <w:b/>
              </w:rPr>
              <w:t xml:space="preserve"> </w:t>
            </w:r>
            <w:r w:rsidRPr="00FD4961">
              <w:rPr>
                <w:b/>
              </w:rPr>
              <w:t>Tak, częściowo</w:t>
            </w:r>
            <w:r w:rsidR="00104C40" w:rsidRPr="00FD4961">
              <w:rPr>
                <w:b/>
              </w:rPr>
              <w:t xml:space="preserve"> </w:t>
            </w:r>
            <w:r w:rsidRPr="00FD4961">
              <w:rPr>
                <w:b/>
              </w:rPr>
              <w:t>/</w:t>
            </w:r>
            <w:r w:rsidR="00104C40" w:rsidRPr="00FD4961">
              <w:rPr>
                <w:b/>
              </w:rPr>
              <w:t xml:space="preserve"> </w:t>
            </w:r>
            <w:r w:rsidRPr="00FD4961">
              <w:rPr>
                <w:b/>
              </w:rPr>
              <w:t>Nie</w:t>
            </w:r>
          </w:p>
        </w:tc>
        <w:tc>
          <w:tcPr>
            <w:tcW w:w="4642" w:type="dxa"/>
          </w:tcPr>
          <w:p w:rsidR="00830F2C" w:rsidRPr="00FD4961" w:rsidRDefault="004C5AD8">
            <w:pPr>
              <w:pStyle w:val="TableParagraph"/>
              <w:spacing w:line="265" w:lineRule="exact"/>
              <w:ind w:left="127"/>
              <w:rPr>
                <w:b/>
              </w:rPr>
            </w:pPr>
            <w:r w:rsidRPr="00FD4961">
              <w:rPr>
                <w:b/>
              </w:rPr>
              <w:t>Sugerowane wskaźniki (lub forma pomiaru)</w:t>
            </w:r>
          </w:p>
        </w:tc>
      </w:tr>
      <w:tr w:rsidR="00830F2C" w:rsidRPr="00FD4961" w:rsidTr="000B68B6">
        <w:trPr>
          <w:trHeight w:val="393"/>
        </w:trPr>
        <w:tc>
          <w:tcPr>
            <w:tcW w:w="5847" w:type="dxa"/>
          </w:tcPr>
          <w:p w:rsidR="00830F2C" w:rsidRPr="00FD4961" w:rsidRDefault="004C5AD8" w:rsidP="00053C34">
            <w:pPr>
              <w:pStyle w:val="TableParagraph"/>
              <w:spacing w:before="97" w:line="276" w:lineRule="exact"/>
              <w:ind w:left="107"/>
              <w:rPr>
                <w:b/>
                <w:sz w:val="24"/>
              </w:rPr>
            </w:pPr>
            <w:r w:rsidRPr="00FD4961">
              <w:rPr>
                <w:b/>
                <w:sz w:val="24"/>
              </w:rPr>
              <w:t xml:space="preserve">System </w:t>
            </w:r>
            <w:proofErr w:type="spellStart"/>
            <w:r w:rsidR="00053C34">
              <w:rPr>
                <w:b/>
                <w:sz w:val="24"/>
              </w:rPr>
              <w:t>OTM-R</w:t>
            </w:r>
            <w:proofErr w:type="spellEnd"/>
          </w:p>
        </w:tc>
        <w:tc>
          <w:tcPr>
            <w:tcW w:w="850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2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0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642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0F2C" w:rsidRPr="00FD4961" w:rsidTr="000B68B6">
        <w:trPr>
          <w:trHeight w:val="635"/>
        </w:trPr>
        <w:tc>
          <w:tcPr>
            <w:tcW w:w="5847" w:type="dxa"/>
          </w:tcPr>
          <w:p w:rsidR="00830F2C" w:rsidRPr="00BB3DC7" w:rsidRDefault="004C5AD8">
            <w:pPr>
              <w:pStyle w:val="TableParagraph"/>
              <w:spacing w:before="94" w:line="266" w:lineRule="exact"/>
              <w:ind w:left="107" w:right="133"/>
            </w:pPr>
            <w:r w:rsidRPr="00BB3DC7">
              <w:t xml:space="preserve">1. Czy opublikowaliśmy wersję naszej polityki </w:t>
            </w:r>
            <w:proofErr w:type="spellStart"/>
            <w:r w:rsidR="00053C34" w:rsidRPr="00BB3DC7">
              <w:t>OTM-R</w:t>
            </w:r>
            <w:proofErr w:type="spellEnd"/>
            <w:r w:rsidR="00053C34" w:rsidRPr="00BB3DC7">
              <w:t xml:space="preserve"> </w:t>
            </w:r>
            <w:r w:rsidRPr="00BB3DC7">
              <w:t>w Internecie (w języku krajowym i angielskim)?</w:t>
            </w:r>
          </w:p>
        </w:tc>
        <w:tc>
          <w:tcPr>
            <w:tcW w:w="850" w:type="dxa"/>
          </w:tcPr>
          <w:p w:rsidR="00830F2C" w:rsidRPr="00FD4961" w:rsidRDefault="004C5AD8">
            <w:pPr>
              <w:pStyle w:val="TableParagraph"/>
              <w:spacing w:before="97"/>
              <w:ind w:left="9"/>
              <w:jc w:val="center"/>
            </w:pPr>
            <w:r w:rsidRPr="00FD4961">
              <w:t>x</w:t>
            </w: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/>
              <w:ind w:left="9"/>
              <w:jc w:val="center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4C5AD8">
            <w:pPr>
              <w:pStyle w:val="TableParagraph"/>
              <w:spacing w:before="97"/>
              <w:ind w:left="611"/>
            </w:pPr>
            <w:r w:rsidRPr="00FD4961">
              <w:t>x</w:t>
            </w:r>
          </w:p>
        </w:tc>
        <w:tc>
          <w:tcPr>
            <w:tcW w:w="2160" w:type="dxa"/>
          </w:tcPr>
          <w:p w:rsidR="00830F2C" w:rsidRPr="00FD4961" w:rsidRDefault="00BB3DC7">
            <w:pPr>
              <w:pStyle w:val="TableParagraph"/>
              <w:rPr>
                <w:rFonts w:ascii="Times New Roman"/>
                <w:sz w:val="26"/>
              </w:rPr>
            </w:pPr>
            <w:r w:rsidRPr="00FD4961">
              <w:rPr>
                <w:b/>
              </w:rPr>
              <w:t>Tak, całkowicie</w:t>
            </w:r>
          </w:p>
        </w:tc>
        <w:tc>
          <w:tcPr>
            <w:tcW w:w="4642" w:type="dxa"/>
          </w:tcPr>
          <w:p w:rsidR="00830F2C" w:rsidRPr="00FD4961" w:rsidRDefault="009E6720" w:rsidP="002176AB">
            <w:pPr>
              <w:pStyle w:val="TableParagraph"/>
              <w:spacing w:before="97"/>
            </w:pPr>
            <w:r>
              <w:t xml:space="preserve">Opracowane zostały „Zasady otwartych i przejrzystych procesów rekrutacji opartych </w:t>
            </w:r>
            <w:r w:rsidR="002176AB">
              <w:t>n</w:t>
            </w:r>
            <w:r>
              <w:t>a kwalifikacjach kandydata”.  Zasady przetłumaczone zostaną na język angielski.</w:t>
            </w:r>
            <w:r w:rsidR="002176AB">
              <w:t xml:space="preserve"> </w:t>
            </w:r>
          </w:p>
        </w:tc>
      </w:tr>
      <w:tr w:rsidR="00830F2C" w:rsidRPr="00FD4961" w:rsidTr="000B68B6">
        <w:trPr>
          <w:trHeight w:val="637"/>
        </w:trPr>
        <w:tc>
          <w:tcPr>
            <w:tcW w:w="5847" w:type="dxa"/>
          </w:tcPr>
          <w:p w:rsidR="00830F2C" w:rsidRPr="00AC67F4" w:rsidRDefault="004C5AD8" w:rsidP="00053C34">
            <w:pPr>
              <w:pStyle w:val="TableParagraph"/>
              <w:spacing w:before="96" w:line="270" w:lineRule="atLeast"/>
              <w:ind w:left="107"/>
            </w:pPr>
            <w:r w:rsidRPr="00AC67F4">
              <w:t xml:space="preserve">2. Czy posiadamy wewnętrzny poradnik określający jasne procedury i praktyki </w:t>
            </w:r>
            <w:proofErr w:type="spellStart"/>
            <w:r w:rsidR="00053C34" w:rsidRPr="00AC67F4">
              <w:t>OTM-R</w:t>
            </w:r>
            <w:proofErr w:type="spellEnd"/>
            <w:r w:rsidRPr="00AC67F4">
              <w:t xml:space="preserve"> dla wszystkich rodzajów stanowisk?</w:t>
            </w:r>
          </w:p>
        </w:tc>
        <w:tc>
          <w:tcPr>
            <w:tcW w:w="850" w:type="dxa"/>
          </w:tcPr>
          <w:p w:rsidR="00830F2C" w:rsidRPr="000E4494" w:rsidRDefault="004C5AD8">
            <w:pPr>
              <w:pStyle w:val="TableParagraph"/>
              <w:spacing w:before="97"/>
              <w:ind w:left="9"/>
              <w:jc w:val="center"/>
            </w:pPr>
            <w:r w:rsidRPr="000E4494">
              <w:t>x</w:t>
            </w: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/>
              <w:ind w:left="9"/>
              <w:jc w:val="center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4C5AD8">
            <w:pPr>
              <w:pStyle w:val="TableParagraph"/>
              <w:spacing w:before="97"/>
              <w:ind w:left="611"/>
            </w:pPr>
            <w:r w:rsidRPr="00FD4961">
              <w:t>x</w:t>
            </w:r>
          </w:p>
        </w:tc>
        <w:tc>
          <w:tcPr>
            <w:tcW w:w="2160" w:type="dxa"/>
          </w:tcPr>
          <w:p w:rsidR="00830F2C" w:rsidRPr="00FD4961" w:rsidRDefault="000E4494">
            <w:pPr>
              <w:pStyle w:val="TableParagraph"/>
              <w:rPr>
                <w:rFonts w:ascii="Times New Roman"/>
                <w:sz w:val="26"/>
              </w:rPr>
            </w:pPr>
            <w:r w:rsidRPr="00FD4961">
              <w:rPr>
                <w:b/>
              </w:rPr>
              <w:t>Tak, całkowicie</w:t>
            </w:r>
          </w:p>
        </w:tc>
        <w:tc>
          <w:tcPr>
            <w:tcW w:w="4642" w:type="dxa"/>
          </w:tcPr>
          <w:p w:rsidR="000E4494" w:rsidRPr="00FD4961" w:rsidRDefault="000E4494" w:rsidP="00B72B9F">
            <w:pPr>
              <w:pStyle w:val="TableParagraph"/>
              <w:spacing w:before="96" w:line="270" w:lineRule="atLeast"/>
              <w:ind w:left="108" w:right="140"/>
            </w:pPr>
            <w:r>
              <w:t>Opracowany zo</w:t>
            </w:r>
            <w:r w:rsidR="00AC67F4">
              <w:t>stał poradnik:</w:t>
            </w:r>
            <w:r w:rsidR="00883429">
              <w:t xml:space="preserve"> </w:t>
            </w:r>
            <w:r w:rsidR="00AC67F4">
              <w:t>„</w:t>
            </w:r>
            <w:r w:rsidR="00883429">
              <w:t>Zasady</w:t>
            </w:r>
            <w:r w:rsidR="00AC67F4">
              <w:t xml:space="preserve"> rekrutacji na stanowiska naukowe w </w:t>
            </w:r>
            <w:proofErr w:type="spellStart"/>
            <w:r w:rsidR="00AC67F4">
              <w:t>IRZiBŻ</w:t>
            </w:r>
            <w:proofErr w:type="spellEnd"/>
            <w:r w:rsidR="00AC67F4">
              <w:t xml:space="preserve"> PAN”. </w:t>
            </w:r>
            <w:r w:rsidR="009E6720">
              <w:t xml:space="preserve">Poradnik przetłumaczony </w:t>
            </w:r>
            <w:r w:rsidR="00B72B9F">
              <w:t>zostanie</w:t>
            </w:r>
            <w:r w:rsidR="009E6720">
              <w:t xml:space="preserve"> na język angielski.</w:t>
            </w:r>
          </w:p>
        </w:tc>
      </w:tr>
      <w:tr w:rsidR="00830F2C" w:rsidRPr="00FD4961" w:rsidTr="000B68B6">
        <w:trPr>
          <w:trHeight w:val="638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6" w:line="270" w:lineRule="atLeast"/>
              <w:ind w:left="107" w:right="133"/>
            </w:pPr>
            <w:r w:rsidRPr="00AC67F4">
              <w:t xml:space="preserve">3. Czy wszystkie osoby zaangażowane w ten proces zostały dostatecznie przeszkolone w zakresie </w:t>
            </w:r>
            <w:proofErr w:type="spellStart"/>
            <w:r w:rsidR="00053C34" w:rsidRPr="00AC67F4">
              <w:t>OTM-R</w:t>
            </w:r>
            <w:proofErr w:type="spellEnd"/>
            <w:r w:rsidR="00053C34" w:rsidRPr="00AC67F4">
              <w:t>?</w:t>
            </w:r>
          </w:p>
        </w:tc>
        <w:tc>
          <w:tcPr>
            <w:tcW w:w="850" w:type="dxa"/>
          </w:tcPr>
          <w:p w:rsidR="00830F2C" w:rsidRPr="00FD4961" w:rsidRDefault="004C5AD8">
            <w:pPr>
              <w:pStyle w:val="TableParagraph"/>
              <w:spacing w:before="98"/>
              <w:ind w:left="9"/>
              <w:jc w:val="center"/>
            </w:pPr>
            <w:r w:rsidRPr="00FD4961">
              <w:t>x</w:t>
            </w: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8"/>
              <w:ind w:left="9"/>
              <w:jc w:val="center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4C5AD8">
            <w:pPr>
              <w:pStyle w:val="TableParagraph"/>
              <w:spacing w:before="98"/>
              <w:ind w:left="611"/>
            </w:pPr>
            <w:r w:rsidRPr="00FD4961">
              <w:t>x</w:t>
            </w:r>
          </w:p>
        </w:tc>
        <w:tc>
          <w:tcPr>
            <w:tcW w:w="2160" w:type="dxa"/>
          </w:tcPr>
          <w:p w:rsidR="00830F2C" w:rsidRPr="00FD4961" w:rsidRDefault="00380488">
            <w:pPr>
              <w:pStyle w:val="TableParagraph"/>
              <w:rPr>
                <w:rFonts w:ascii="Times New Roman"/>
                <w:sz w:val="26"/>
              </w:rPr>
            </w:pPr>
            <w:r w:rsidRPr="00FD4961">
              <w:rPr>
                <w:b/>
              </w:rPr>
              <w:t>Tak, całkowicie</w:t>
            </w:r>
          </w:p>
        </w:tc>
        <w:tc>
          <w:tcPr>
            <w:tcW w:w="4642" w:type="dxa"/>
          </w:tcPr>
          <w:p w:rsidR="006832DF" w:rsidRPr="00FD4961" w:rsidRDefault="00122B53" w:rsidP="006832DF">
            <w:pPr>
              <w:pStyle w:val="TableParagraph"/>
              <w:tabs>
                <w:tab w:val="left" w:pos="269"/>
              </w:tabs>
              <w:spacing w:before="98"/>
            </w:pPr>
            <w:r>
              <w:rPr>
                <w:rStyle w:val="tlid-translation"/>
              </w:rPr>
              <w:t xml:space="preserve">W dniu 15.11.2018r. </w:t>
            </w:r>
            <w:r w:rsidR="00D131F7">
              <w:rPr>
                <w:rStyle w:val="tlid-translation"/>
              </w:rPr>
              <w:t xml:space="preserve">zorganizowane zostało szkolenie dla kierowników rekrutujących pracowników do realizacji projektów </w:t>
            </w:r>
            <w:r w:rsidR="000D69AD">
              <w:rPr>
                <w:rStyle w:val="tlid-translation"/>
              </w:rPr>
              <w:t xml:space="preserve">finansowanych ze źródeł zewnętrznych i krajowych „Rekrutacja, zarządzanie zasobami ludzkimi oraz zarządzanie karierą w nauce”. W szkoleniu uczestniczyły 24 osoby. Uczestnicy szkolenia otrzymali certyfikaty potwierdzające ukończenie </w:t>
            </w:r>
            <w:r w:rsidR="000D69AD">
              <w:rPr>
                <w:rStyle w:val="tlid-translation"/>
              </w:rPr>
              <w:lastRenderedPageBreak/>
              <w:t>szkolenia.</w:t>
            </w:r>
            <w:r w:rsidR="009B03F1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W dniu 27</w:t>
            </w:r>
            <w:r w:rsidR="006832DF">
              <w:rPr>
                <w:rStyle w:val="tlid-translation"/>
              </w:rPr>
              <w:t xml:space="preserve">.11.2018r. </w:t>
            </w:r>
            <w:r>
              <w:rPr>
                <w:rStyle w:val="tlid-translation"/>
              </w:rPr>
              <w:t xml:space="preserve"> </w:t>
            </w:r>
            <w:r w:rsidR="006832DF">
              <w:rPr>
                <w:rStyle w:val="tlid-translation"/>
              </w:rPr>
              <w:t>zorganizowane zostało szkolenie dla kadry zarządzającej oraz kierowników jednostek organizacyjnych</w:t>
            </w:r>
            <w:r>
              <w:rPr>
                <w:rStyle w:val="tlid-translation"/>
              </w:rPr>
              <w:t xml:space="preserve"> </w:t>
            </w:r>
            <w:r w:rsidR="006832DF">
              <w:rPr>
                <w:rStyle w:val="tlid-translation"/>
              </w:rPr>
              <w:t>: „Rekrutacja, zarządzanie zasobami ludzkimi oraz zarządzanie karierą w nauce”. W szkoleniu uczestniczyło 21 osób.</w:t>
            </w:r>
            <w:r w:rsidR="000D69AD">
              <w:rPr>
                <w:rStyle w:val="tlid-translation"/>
              </w:rPr>
              <w:t xml:space="preserve"> Uczestnicy szkolenia otrzymali certyfikaty potwierdzające ukończenie szkolenia.</w:t>
            </w:r>
          </w:p>
        </w:tc>
      </w:tr>
      <w:tr w:rsidR="00830F2C" w:rsidRPr="00FD4961" w:rsidTr="000B68B6">
        <w:trPr>
          <w:trHeight w:val="635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7"/>
              <w:ind w:left="107"/>
            </w:pPr>
            <w:r w:rsidRPr="00AC67F4">
              <w:lastRenderedPageBreak/>
              <w:t>4. Czy (dostatecznie) wykorzystujemy narzędzia e-rekrutacji?</w:t>
            </w:r>
          </w:p>
        </w:tc>
        <w:tc>
          <w:tcPr>
            <w:tcW w:w="850" w:type="dxa"/>
          </w:tcPr>
          <w:p w:rsidR="00830F2C" w:rsidRPr="00FD4961" w:rsidRDefault="004C5AD8">
            <w:pPr>
              <w:pStyle w:val="TableParagraph"/>
              <w:spacing w:before="97"/>
              <w:ind w:left="9"/>
              <w:jc w:val="center"/>
            </w:pPr>
            <w:r w:rsidRPr="00FD4961">
              <w:t>x</w:t>
            </w: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/>
              <w:ind w:left="9"/>
              <w:jc w:val="center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830F2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 w:rsidR="00830F2C" w:rsidRPr="00FD4961" w:rsidRDefault="00380488">
            <w:pPr>
              <w:pStyle w:val="TableParagraph"/>
              <w:rPr>
                <w:rFonts w:ascii="Times New Roman"/>
                <w:sz w:val="26"/>
              </w:rPr>
            </w:pPr>
            <w:r w:rsidRPr="00FD4961">
              <w:rPr>
                <w:b/>
              </w:rPr>
              <w:t>Tak, w znacznym stopniu</w:t>
            </w:r>
          </w:p>
        </w:tc>
        <w:tc>
          <w:tcPr>
            <w:tcW w:w="4642" w:type="dxa"/>
          </w:tcPr>
          <w:p w:rsidR="00830F2C" w:rsidRPr="00FD4961" w:rsidRDefault="00380488" w:rsidP="001E5C41">
            <w:pPr>
              <w:pStyle w:val="TableParagraph"/>
              <w:spacing w:before="94" w:line="266" w:lineRule="exact"/>
              <w:ind w:left="108"/>
            </w:pPr>
            <w:r>
              <w:rPr>
                <w:rStyle w:val="tlid-translation"/>
              </w:rPr>
              <w:t>O</w:t>
            </w:r>
            <w:r w:rsidR="00B11B1C">
              <w:rPr>
                <w:rStyle w:val="tlid-translation"/>
              </w:rPr>
              <w:t xml:space="preserve">ferty pracy dla stanowisk </w:t>
            </w:r>
            <w:r>
              <w:rPr>
                <w:rStyle w:val="tlid-translation"/>
              </w:rPr>
              <w:t xml:space="preserve">naukowych </w:t>
            </w:r>
            <w:r w:rsidR="00B11B1C">
              <w:rPr>
                <w:rStyle w:val="tlid-translation"/>
              </w:rPr>
              <w:t>publikowane</w:t>
            </w:r>
            <w:r>
              <w:rPr>
                <w:rStyle w:val="tlid-translation"/>
              </w:rPr>
              <w:t xml:space="preserve"> są na stronie internetowej Instytutu </w:t>
            </w:r>
            <w:hyperlink r:id="rId8" w:history="1">
              <w:r w:rsidRPr="00DD044C">
                <w:rPr>
                  <w:rStyle w:val="Hipercze"/>
                </w:rPr>
                <w:t>www.pan.olsztyn.pl</w:t>
              </w:r>
            </w:hyperlink>
            <w:r>
              <w:rPr>
                <w:rStyle w:val="tlid-translation"/>
              </w:rPr>
              <w:t xml:space="preserve"> ,</w:t>
            </w:r>
            <w:r w:rsidR="00B11B1C">
              <w:rPr>
                <w:rStyle w:val="tlid-translation"/>
              </w:rPr>
              <w:t xml:space="preserve">na stronie Ministerstwa Nauki i Szkolnictwa Wyższego, a także na stronie EURAXESS (w języku polskim lub / i angielskim). </w:t>
            </w:r>
            <w:r>
              <w:rPr>
                <w:rStyle w:val="tlid-translation"/>
              </w:rPr>
              <w:t xml:space="preserve">Kandydaci aplikujący na stanowiska naukowe </w:t>
            </w:r>
            <w:r w:rsidR="00B11B1C">
              <w:rPr>
                <w:rStyle w:val="tlid-translation"/>
              </w:rPr>
              <w:t xml:space="preserve">mogą wysyłać swoje oferty </w:t>
            </w:r>
            <w:r>
              <w:rPr>
                <w:rStyle w:val="tlid-translation"/>
              </w:rPr>
              <w:t xml:space="preserve">na wskazany w ogłoszeniu adres </w:t>
            </w:r>
            <w:r w:rsidR="00B11B1C">
              <w:rPr>
                <w:rStyle w:val="tlid-translation"/>
              </w:rPr>
              <w:t xml:space="preserve"> e-mail</w:t>
            </w:r>
            <w:r w:rsidR="001E5C41">
              <w:rPr>
                <w:rStyle w:val="tlid-translation"/>
              </w:rPr>
              <w:t xml:space="preserve">. </w:t>
            </w:r>
            <w:r>
              <w:rPr>
                <w:rStyle w:val="tlid-translation"/>
              </w:rPr>
              <w:t xml:space="preserve">Drogą mailową otrzymują również </w:t>
            </w:r>
            <w:r w:rsidR="001E5C41">
              <w:rPr>
                <w:rStyle w:val="tlid-translation"/>
              </w:rPr>
              <w:t xml:space="preserve">zwrotną </w:t>
            </w:r>
            <w:r>
              <w:rPr>
                <w:rStyle w:val="tlid-translation"/>
              </w:rPr>
              <w:t xml:space="preserve">informację </w:t>
            </w:r>
            <w:r w:rsidR="001E5C41">
              <w:rPr>
                <w:rStyle w:val="tlid-translation"/>
              </w:rPr>
              <w:t>o wynikach konkursu oraz o mocnych i słabych stronach swojej kandydatury.</w:t>
            </w:r>
          </w:p>
        </w:tc>
      </w:tr>
      <w:tr w:rsidR="00830F2C" w:rsidRPr="00FD4961" w:rsidTr="000B68B6">
        <w:trPr>
          <w:trHeight w:val="441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6" w:line="270" w:lineRule="atLeast"/>
              <w:ind w:left="107"/>
              <w:rPr>
                <w:spacing w:val="-2"/>
              </w:rPr>
            </w:pPr>
            <w:r w:rsidRPr="00AC67F4">
              <w:rPr>
                <w:spacing w:val="-2"/>
              </w:rPr>
              <w:t xml:space="preserve">5. Czy posiadamy wdrożony system kontroli jakości dla </w:t>
            </w:r>
            <w:proofErr w:type="spellStart"/>
            <w:r w:rsidR="00053C34" w:rsidRPr="00AC67F4">
              <w:t>OTM-R</w:t>
            </w:r>
            <w:proofErr w:type="spellEnd"/>
            <w:r w:rsidRPr="00AC67F4">
              <w:rPr>
                <w:spacing w:val="-2"/>
              </w:rPr>
              <w:t>?</w:t>
            </w:r>
          </w:p>
        </w:tc>
        <w:tc>
          <w:tcPr>
            <w:tcW w:w="850" w:type="dxa"/>
          </w:tcPr>
          <w:p w:rsidR="00830F2C" w:rsidRPr="00FD4961" w:rsidRDefault="004C5AD8">
            <w:pPr>
              <w:pStyle w:val="TableParagraph"/>
              <w:spacing w:before="97"/>
              <w:ind w:left="9"/>
              <w:jc w:val="center"/>
            </w:pPr>
            <w:r w:rsidRPr="00FD4961">
              <w:t>x</w:t>
            </w: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/>
              <w:ind w:left="9"/>
              <w:jc w:val="center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4C5AD8">
            <w:pPr>
              <w:pStyle w:val="TableParagraph"/>
              <w:spacing w:before="97"/>
              <w:ind w:left="611"/>
            </w:pPr>
            <w:r w:rsidRPr="00FD4961">
              <w:t>x</w:t>
            </w:r>
          </w:p>
        </w:tc>
        <w:tc>
          <w:tcPr>
            <w:tcW w:w="2160" w:type="dxa"/>
          </w:tcPr>
          <w:p w:rsidR="00830F2C" w:rsidRPr="00FD4961" w:rsidRDefault="000072CB">
            <w:pPr>
              <w:pStyle w:val="TableParagraph"/>
              <w:rPr>
                <w:rFonts w:ascii="Times New Roman"/>
                <w:sz w:val="26"/>
              </w:rPr>
            </w:pPr>
            <w:r w:rsidRPr="00FD4961">
              <w:rPr>
                <w:b/>
              </w:rPr>
              <w:t>Tak, całkowicie</w:t>
            </w:r>
          </w:p>
        </w:tc>
        <w:tc>
          <w:tcPr>
            <w:tcW w:w="4642" w:type="dxa"/>
          </w:tcPr>
          <w:p w:rsidR="00830F2C" w:rsidRPr="00FD4961" w:rsidRDefault="000072CB" w:rsidP="00B56D2D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Style w:val="tlid-translation"/>
              </w:rPr>
              <w:t xml:space="preserve">Nadzór nad prawidłowością procedur konkursowych z </w:t>
            </w:r>
            <w:proofErr w:type="spellStart"/>
            <w:r>
              <w:rPr>
                <w:rStyle w:val="tlid-translation"/>
              </w:rPr>
              <w:t>OTM-R</w:t>
            </w:r>
            <w:proofErr w:type="spellEnd"/>
            <w:r>
              <w:rPr>
                <w:rStyle w:val="tlid-translation"/>
              </w:rPr>
              <w:t xml:space="preserve"> sprawuje p</w:t>
            </w:r>
            <w:r w:rsidR="001E5C41">
              <w:rPr>
                <w:rStyle w:val="tlid-translation"/>
              </w:rPr>
              <w:t>racownik</w:t>
            </w:r>
            <w:r w:rsidR="00B11B1C">
              <w:rPr>
                <w:rStyle w:val="tlid-translation"/>
              </w:rPr>
              <w:t xml:space="preserve"> </w:t>
            </w:r>
            <w:r w:rsidR="001E5C41">
              <w:rPr>
                <w:rStyle w:val="tlid-translation"/>
              </w:rPr>
              <w:t>Działu</w:t>
            </w:r>
            <w:r w:rsidR="00B11B1C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Kadr</w:t>
            </w:r>
            <w:r w:rsidR="00B11B1C">
              <w:rPr>
                <w:rStyle w:val="tlid-translation"/>
              </w:rPr>
              <w:t>, któr</w:t>
            </w:r>
            <w:r w:rsidR="001E5C41">
              <w:rPr>
                <w:rStyle w:val="tlid-translation"/>
              </w:rPr>
              <w:t>y</w:t>
            </w:r>
            <w:r w:rsidR="00B11B1C">
              <w:rPr>
                <w:rStyle w:val="tlid-translation"/>
              </w:rPr>
              <w:t xml:space="preserve"> bezpośrednio zaangażowan</w:t>
            </w:r>
            <w:r w:rsidR="001E5C41">
              <w:rPr>
                <w:rStyle w:val="tlid-translation"/>
              </w:rPr>
              <w:t xml:space="preserve">y jest </w:t>
            </w:r>
            <w:r w:rsidR="00B11B1C">
              <w:rPr>
                <w:rStyle w:val="tlid-translation"/>
              </w:rPr>
              <w:t>w</w:t>
            </w:r>
            <w:r w:rsidR="001E5C41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proces rekrutacji oraz przewodniczący Komisji konkursowych</w:t>
            </w:r>
            <w:r w:rsidR="00B56D2D">
              <w:rPr>
                <w:rStyle w:val="tlid-translation"/>
              </w:rPr>
              <w:t xml:space="preserve"> (</w:t>
            </w:r>
            <w:r>
              <w:rPr>
                <w:rStyle w:val="tlid-translation"/>
              </w:rPr>
              <w:t xml:space="preserve">zgodnie z Regulaminem konkursowym </w:t>
            </w:r>
            <w:r w:rsidR="00B56D2D">
              <w:rPr>
                <w:rStyle w:val="tlid-translation"/>
              </w:rPr>
              <w:t xml:space="preserve">– są to </w:t>
            </w:r>
            <w:r>
              <w:rPr>
                <w:rStyle w:val="tlid-translation"/>
              </w:rPr>
              <w:t>zastępcy dyrektora Instytutu</w:t>
            </w:r>
            <w:r w:rsidR="00B56D2D">
              <w:rPr>
                <w:rStyle w:val="tlid-translation"/>
              </w:rPr>
              <w:t>).</w:t>
            </w:r>
          </w:p>
        </w:tc>
      </w:tr>
      <w:tr w:rsidR="000B68B6" w:rsidRPr="00FD4961" w:rsidTr="000B68B6">
        <w:trPr>
          <w:trHeight w:val="441"/>
        </w:trPr>
        <w:tc>
          <w:tcPr>
            <w:tcW w:w="5847" w:type="dxa"/>
          </w:tcPr>
          <w:p w:rsidR="000B68B6" w:rsidRPr="00AC67F4" w:rsidRDefault="000B68B6" w:rsidP="00E82559">
            <w:pPr>
              <w:pStyle w:val="TableParagraph"/>
              <w:spacing w:before="96" w:line="266" w:lineRule="exact"/>
              <w:ind w:left="107"/>
            </w:pPr>
            <w:r w:rsidRPr="00AC67F4">
              <w:t xml:space="preserve">6. Czy nasza aktualna polityka </w:t>
            </w:r>
            <w:proofErr w:type="spellStart"/>
            <w:r w:rsidR="00053C34" w:rsidRPr="00AC67F4">
              <w:t>OTM-R</w:t>
            </w:r>
            <w:proofErr w:type="spellEnd"/>
            <w:r w:rsidR="00053C34" w:rsidRPr="00AC67F4">
              <w:t xml:space="preserve"> </w:t>
            </w:r>
            <w:r w:rsidRPr="00AC67F4">
              <w:t>zachęca zewnętrznych kandydatów do aplikowania?</w:t>
            </w:r>
          </w:p>
        </w:tc>
        <w:tc>
          <w:tcPr>
            <w:tcW w:w="850" w:type="dxa"/>
          </w:tcPr>
          <w:p w:rsidR="000B68B6" w:rsidRPr="00FD4961" w:rsidRDefault="000B68B6" w:rsidP="00E82559">
            <w:pPr>
              <w:pStyle w:val="TableParagraph"/>
              <w:spacing w:before="100"/>
              <w:ind w:left="491"/>
            </w:pPr>
            <w:r w:rsidRPr="00FD4961">
              <w:t>x</w:t>
            </w:r>
          </w:p>
        </w:tc>
        <w:tc>
          <w:tcPr>
            <w:tcW w:w="1092" w:type="dxa"/>
          </w:tcPr>
          <w:p w:rsidR="000B68B6" w:rsidRPr="00FD4961" w:rsidRDefault="000B68B6" w:rsidP="00E82559">
            <w:pPr>
              <w:pStyle w:val="TableParagraph"/>
              <w:spacing w:before="100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0B68B6" w:rsidRPr="00FD4961" w:rsidRDefault="000B68B6" w:rsidP="00E82559">
            <w:pPr>
              <w:pStyle w:val="TableParagraph"/>
              <w:spacing w:before="100"/>
              <w:ind w:left="611"/>
            </w:pPr>
            <w:r w:rsidRPr="00FD4961">
              <w:t>x</w:t>
            </w:r>
          </w:p>
        </w:tc>
        <w:tc>
          <w:tcPr>
            <w:tcW w:w="2160" w:type="dxa"/>
          </w:tcPr>
          <w:p w:rsidR="000B68B6" w:rsidRPr="00FD4961" w:rsidRDefault="00B56D2D" w:rsidP="00E82559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w znacznym stopniu</w:t>
            </w:r>
          </w:p>
        </w:tc>
        <w:tc>
          <w:tcPr>
            <w:tcW w:w="4642" w:type="dxa"/>
          </w:tcPr>
          <w:p w:rsidR="000B68B6" w:rsidRDefault="000072CB" w:rsidP="000072CB">
            <w:pPr>
              <w:pStyle w:val="TableParagraph"/>
              <w:spacing w:before="96" w:line="266" w:lineRule="exact"/>
              <w:ind w:right="140"/>
            </w:pPr>
            <w:r>
              <w:rPr>
                <w:rStyle w:val="tlid-translation"/>
              </w:rPr>
              <w:t>Oferty pracy dla stanowisk naukowych publikowane są na stronie internetowej Instytutu na stronie Ministerstwa Nauki i Szkolnictwa Wyższego, a także na stronie EURAXESS</w:t>
            </w:r>
            <w:r w:rsidR="00B56D2D">
              <w:rPr>
                <w:rStyle w:val="tlid-translation"/>
              </w:rPr>
              <w:t xml:space="preserve">. </w:t>
            </w:r>
            <w:r w:rsidR="00B56D2D">
              <w:t xml:space="preserve">Polityka </w:t>
            </w:r>
            <w:proofErr w:type="spellStart"/>
            <w:r w:rsidR="00B56D2D">
              <w:t>OTM-R</w:t>
            </w:r>
            <w:proofErr w:type="spellEnd"/>
            <w:r w:rsidR="00B56D2D">
              <w:t xml:space="preserve"> zawiera otwarte i przejrzyste zasady rekrutacji, które powinny zachęcać kandydatów do aplikowania. </w:t>
            </w:r>
            <w:r w:rsidR="00CC602E">
              <w:t>Proces rekrutacyjny odbywa się w języku</w:t>
            </w:r>
            <w:r w:rsidR="002176AB">
              <w:t xml:space="preserve"> polskim lub</w:t>
            </w:r>
            <w:r w:rsidR="00CC602E">
              <w:t xml:space="preserve"> angielskim. </w:t>
            </w:r>
          </w:p>
          <w:p w:rsidR="000072CB" w:rsidRPr="00FD4961" w:rsidRDefault="000072CB" w:rsidP="000072CB">
            <w:pPr>
              <w:pStyle w:val="TableParagraph"/>
              <w:spacing w:before="96" w:line="266" w:lineRule="exact"/>
              <w:ind w:right="140"/>
            </w:pPr>
          </w:p>
        </w:tc>
      </w:tr>
    </w:tbl>
    <w:p w:rsidR="00830F2C" w:rsidRPr="00FD4961" w:rsidRDefault="00830F2C">
      <w:pPr>
        <w:rPr>
          <w:rFonts w:ascii="Times New Roman"/>
          <w:sz w:val="26"/>
        </w:rPr>
        <w:sectPr w:rsidR="00830F2C" w:rsidRPr="00FD4961">
          <w:type w:val="continuous"/>
          <w:pgSz w:w="16840" w:h="11910" w:orient="landscape"/>
          <w:pgMar w:top="1100" w:right="3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7"/>
        <w:gridCol w:w="850"/>
        <w:gridCol w:w="1092"/>
        <w:gridCol w:w="1320"/>
        <w:gridCol w:w="2160"/>
        <w:gridCol w:w="4642"/>
      </w:tblGrid>
      <w:tr w:rsidR="00830F2C" w:rsidRPr="00FD4961" w:rsidTr="000B68B6">
        <w:trPr>
          <w:trHeight w:val="637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6" w:line="270" w:lineRule="atLeast"/>
              <w:ind w:left="107"/>
            </w:pPr>
            <w:r w:rsidRPr="00AC67F4">
              <w:lastRenderedPageBreak/>
              <w:t xml:space="preserve">7. Czy nasza aktualna polityka </w:t>
            </w:r>
            <w:proofErr w:type="spellStart"/>
            <w:r w:rsidR="00053C34" w:rsidRPr="00AC67F4">
              <w:t>OTM-R</w:t>
            </w:r>
            <w:proofErr w:type="spellEnd"/>
            <w:r w:rsidR="00053C34" w:rsidRPr="00AC67F4">
              <w:t xml:space="preserve"> </w:t>
            </w:r>
            <w:r w:rsidRPr="00AC67F4">
              <w:t>jest zgodna z politykami mającymi na celu przyciągnięcie badaczy z zagranicy?</w:t>
            </w:r>
          </w:p>
        </w:tc>
        <w:tc>
          <w:tcPr>
            <w:tcW w:w="850" w:type="dxa"/>
          </w:tcPr>
          <w:p w:rsidR="00830F2C" w:rsidRPr="00FD4961" w:rsidRDefault="004C5AD8">
            <w:pPr>
              <w:pStyle w:val="TableParagraph"/>
              <w:spacing w:before="97"/>
              <w:ind w:left="491"/>
            </w:pPr>
            <w:r w:rsidRPr="00FD4961">
              <w:t>x</w:t>
            </w: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4C5AD8">
            <w:pPr>
              <w:pStyle w:val="TableParagraph"/>
              <w:spacing w:before="97"/>
              <w:ind w:left="611"/>
            </w:pPr>
            <w:r w:rsidRPr="00FD4961">
              <w:t>x</w:t>
            </w:r>
          </w:p>
        </w:tc>
        <w:tc>
          <w:tcPr>
            <w:tcW w:w="2160" w:type="dxa"/>
          </w:tcPr>
          <w:p w:rsidR="00830F2C" w:rsidRPr="00FD4961" w:rsidRDefault="00792463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w znacznym stopniu</w:t>
            </w:r>
          </w:p>
        </w:tc>
        <w:tc>
          <w:tcPr>
            <w:tcW w:w="4642" w:type="dxa"/>
          </w:tcPr>
          <w:p w:rsidR="00830F2C" w:rsidRPr="00FD4961" w:rsidRDefault="0063027C" w:rsidP="002176AB">
            <w:pPr>
              <w:pStyle w:val="TableParagraph"/>
              <w:spacing w:before="97"/>
            </w:pPr>
            <w:r>
              <w:rPr>
                <w:rStyle w:val="tlid-translation"/>
              </w:rPr>
              <w:t>O</w:t>
            </w:r>
            <w:r w:rsidR="00B11B1C">
              <w:rPr>
                <w:rStyle w:val="tlid-translation"/>
              </w:rPr>
              <w:t xml:space="preserve">ferty pracy dla stanowisk </w:t>
            </w:r>
            <w:r>
              <w:rPr>
                <w:rStyle w:val="tlid-translation"/>
              </w:rPr>
              <w:t>naukowych</w:t>
            </w:r>
            <w:r w:rsidR="002176AB">
              <w:rPr>
                <w:rStyle w:val="tlid-translation"/>
              </w:rPr>
              <w:t xml:space="preserve"> publikowane</w:t>
            </w:r>
            <w:r>
              <w:rPr>
                <w:rStyle w:val="tlid-translation"/>
              </w:rPr>
              <w:t xml:space="preserve"> </w:t>
            </w:r>
            <w:r w:rsidR="00B11B1C">
              <w:rPr>
                <w:rStyle w:val="tlid-translation"/>
              </w:rPr>
              <w:t xml:space="preserve">są zawsze na naszej stronie głównej, a także na stronie EURAXESS </w:t>
            </w:r>
            <w:r w:rsidR="002176AB">
              <w:rPr>
                <w:rStyle w:val="tlid-translation"/>
              </w:rPr>
              <w:t xml:space="preserve">. </w:t>
            </w:r>
            <w:r>
              <w:rPr>
                <w:rStyle w:val="tlid-translation"/>
              </w:rPr>
              <w:t xml:space="preserve">Aplikowanie odbywa się drogą elektroniczną, co ułatwia kandydatom z zagranicy składanie dokumentów na konkurs. Od kandydatów na etapie rekrutacji nie wymaga się przedstawiania oryginałów dokumentów. </w:t>
            </w:r>
            <w:r w:rsidR="00B11B1C">
              <w:rPr>
                <w:rStyle w:val="tlid-translation"/>
              </w:rPr>
              <w:t xml:space="preserve">Możliwe jest również przeprowadzanie </w:t>
            </w:r>
            <w:r>
              <w:rPr>
                <w:rStyle w:val="tlid-translation"/>
              </w:rPr>
              <w:t xml:space="preserve">rozmów kwalifikacyjnych </w:t>
            </w:r>
            <w:r w:rsidR="00B11B1C">
              <w:rPr>
                <w:rStyle w:val="tlid-translation"/>
              </w:rPr>
              <w:t xml:space="preserve">np. </w:t>
            </w:r>
            <w:r w:rsidR="00001B00">
              <w:rPr>
                <w:rStyle w:val="tlid-translation"/>
              </w:rPr>
              <w:t xml:space="preserve">na </w:t>
            </w:r>
            <w:proofErr w:type="spellStart"/>
            <w:r w:rsidR="00B11B1C">
              <w:rPr>
                <w:rStyle w:val="tlid-translation"/>
              </w:rPr>
              <w:t>Skype</w:t>
            </w:r>
            <w:proofErr w:type="spellEnd"/>
            <w:r>
              <w:rPr>
                <w:rStyle w:val="tlid-translation"/>
              </w:rPr>
              <w:t>.</w:t>
            </w:r>
            <w:r w:rsidR="00CC602E">
              <w:rPr>
                <w:rStyle w:val="tlid-translation"/>
              </w:rPr>
              <w:t xml:space="preserve"> Proces rekrutacyjny odbywa się w języku angielskim.</w:t>
            </w:r>
          </w:p>
        </w:tc>
      </w:tr>
      <w:tr w:rsidR="00830F2C" w:rsidRPr="00FD4961" w:rsidTr="000B68B6">
        <w:trPr>
          <w:trHeight w:val="635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4" w:line="266" w:lineRule="exact"/>
              <w:ind w:left="107"/>
            </w:pPr>
            <w:r w:rsidRPr="00AC67F4">
              <w:t xml:space="preserve">8. Czy nasza aktualna polityka </w:t>
            </w:r>
            <w:proofErr w:type="spellStart"/>
            <w:r w:rsidR="00053C34" w:rsidRPr="00AC67F4">
              <w:t>OTM-R</w:t>
            </w:r>
            <w:proofErr w:type="spellEnd"/>
            <w:r w:rsidR="00053C34" w:rsidRPr="00AC67F4">
              <w:t xml:space="preserve"> </w:t>
            </w:r>
            <w:r w:rsidRPr="00AC67F4">
              <w:t>jest zgodna z politykami mającymi na celu przyciągnięcie niedostatecznie reprezentowanych grup?</w:t>
            </w:r>
          </w:p>
        </w:tc>
        <w:tc>
          <w:tcPr>
            <w:tcW w:w="850" w:type="dxa"/>
          </w:tcPr>
          <w:p w:rsidR="00830F2C" w:rsidRPr="00FD4961" w:rsidRDefault="004C5AD8">
            <w:pPr>
              <w:pStyle w:val="TableParagraph"/>
              <w:spacing w:before="97"/>
              <w:ind w:left="491"/>
            </w:pPr>
            <w:r w:rsidRPr="00FD4961">
              <w:t>x</w:t>
            </w: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4C5AD8">
            <w:pPr>
              <w:pStyle w:val="TableParagraph"/>
              <w:spacing w:before="97"/>
              <w:ind w:left="611"/>
            </w:pPr>
            <w:r w:rsidRPr="00FD4961">
              <w:t>x</w:t>
            </w:r>
          </w:p>
        </w:tc>
        <w:tc>
          <w:tcPr>
            <w:tcW w:w="2160" w:type="dxa"/>
          </w:tcPr>
          <w:p w:rsidR="00830F2C" w:rsidRPr="00FD4961" w:rsidRDefault="00E377B7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w znacznym stopniu</w:t>
            </w:r>
          </w:p>
        </w:tc>
        <w:tc>
          <w:tcPr>
            <w:tcW w:w="4642" w:type="dxa"/>
          </w:tcPr>
          <w:p w:rsidR="00830F2C" w:rsidRPr="00FD4961" w:rsidRDefault="0063027C" w:rsidP="00FD75AE">
            <w:pPr>
              <w:pStyle w:val="TableParagraph"/>
              <w:spacing w:before="94" w:line="266" w:lineRule="exact"/>
              <w:ind w:left="108"/>
            </w:pPr>
            <w:r>
              <w:rPr>
                <w:rStyle w:val="tlid-translation"/>
              </w:rPr>
              <w:t xml:space="preserve">Instytut </w:t>
            </w:r>
            <w:r w:rsidR="00B11B1C">
              <w:rPr>
                <w:rStyle w:val="tlid-translation"/>
              </w:rPr>
              <w:t xml:space="preserve">nie dyskryminuje </w:t>
            </w:r>
            <w:r>
              <w:rPr>
                <w:rStyle w:val="tlid-translation"/>
              </w:rPr>
              <w:t xml:space="preserve">niedostatecznie </w:t>
            </w:r>
            <w:r w:rsidR="00B11B1C">
              <w:rPr>
                <w:rStyle w:val="tlid-translation"/>
              </w:rPr>
              <w:t>reprezentowanych</w:t>
            </w:r>
            <w:r w:rsidR="00E377B7">
              <w:rPr>
                <w:rStyle w:val="tlid-translation"/>
              </w:rPr>
              <w:t xml:space="preserve"> grup. </w:t>
            </w:r>
            <w:r w:rsidR="00FD75AE">
              <w:rPr>
                <w:rStyle w:val="tlid-translation"/>
              </w:rPr>
              <w:t>Oferty pracy nie zawierają zapisów wykluczających kandydatów z niedostatecznie reprezentowanych grup.</w:t>
            </w:r>
          </w:p>
        </w:tc>
      </w:tr>
      <w:tr w:rsidR="00830F2C" w:rsidRPr="00FD4961" w:rsidTr="000B68B6">
        <w:trPr>
          <w:trHeight w:val="638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6" w:line="270" w:lineRule="atLeast"/>
              <w:ind w:left="107"/>
            </w:pPr>
            <w:r w:rsidRPr="00AC67F4">
              <w:t xml:space="preserve">9. Czy nasza aktualna polityka </w:t>
            </w:r>
            <w:proofErr w:type="spellStart"/>
            <w:r w:rsidR="00053C34" w:rsidRPr="00AC67F4">
              <w:t>OTM-R</w:t>
            </w:r>
            <w:proofErr w:type="spellEnd"/>
            <w:r w:rsidR="00053C34" w:rsidRPr="00AC67F4">
              <w:t xml:space="preserve"> </w:t>
            </w:r>
            <w:r w:rsidRPr="00AC67F4">
              <w:t>jest zgodna z politykami mającymi na celu zapewnienie badaczom atrakcyjnych warunków pracy?</w:t>
            </w:r>
          </w:p>
        </w:tc>
        <w:tc>
          <w:tcPr>
            <w:tcW w:w="850" w:type="dxa"/>
          </w:tcPr>
          <w:p w:rsidR="00830F2C" w:rsidRPr="00FD4961" w:rsidRDefault="004C5AD8">
            <w:pPr>
              <w:pStyle w:val="TableParagraph"/>
              <w:spacing w:before="97"/>
              <w:ind w:left="491"/>
            </w:pPr>
            <w:r w:rsidRPr="00FD4961">
              <w:t>x</w:t>
            </w: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4C5AD8">
            <w:pPr>
              <w:pStyle w:val="TableParagraph"/>
              <w:spacing w:before="97"/>
              <w:ind w:left="611"/>
            </w:pPr>
            <w:r w:rsidRPr="00FD4961">
              <w:t>x</w:t>
            </w:r>
          </w:p>
        </w:tc>
        <w:tc>
          <w:tcPr>
            <w:tcW w:w="2160" w:type="dxa"/>
          </w:tcPr>
          <w:p w:rsidR="00830F2C" w:rsidRPr="00FD4961" w:rsidRDefault="00FD75AE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w znacznym stopniu</w:t>
            </w:r>
          </w:p>
        </w:tc>
        <w:tc>
          <w:tcPr>
            <w:tcW w:w="4642" w:type="dxa"/>
          </w:tcPr>
          <w:p w:rsidR="00830F2C" w:rsidRPr="00FD4961" w:rsidRDefault="00053C34" w:rsidP="009A7D5C">
            <w:pPr>
              <w:pStyle w:val="TableParagraph"/>
              <w:spacing w:before="96" w:line="270" w:lineRule="atLeast"/>
              <w:ind w:left="108" w:right="140"/>
            </w:pPr>
            <w:r>
              <w:rPr>
                <w:rStyle w:val="tlid-translation"/>
              </w:rPr>
              <w:t xml:space="preserve">Polityka </w:t>
            </w:r>
            <w:proofErr w:type="spellStart"/>
            <w:r w:rsidR="00D64F70">
              <w:rPr>
                <w:rStyle w:val="tlid-translation"/>
              </w:rPr>
              <w:t>OTM-R</w:t>
            </w:r>
            <w:proofErr w:type="spellEnd"/>
            <w:r w:rsidR="00D64F70">
              <w:rPr>
                <w:rStyle w:val="tlid-translation"/>
              </w:rPr>
              <w:t xml:space="preserve"> jest zgodna z regulacjami </w:t>
            </w:r>
            <w:r w:rsidR="00FD75AE">
              <w:rPr>
                <w:rStyle w:val="tlid-translation"/>
              </w:rPr>
              <w:t xml:space="preserve">wewnętrznymi obowiązującymi w Instytucie </w:t>
            </w:r>
            <w:r w:rsidR="00D64F70">
              <w:rPr>
                <w:rStyle w:val="tlid-translation"/>
              </w:rPr>
              <w:t xml:space="preserve"> (</w:t>
            </w:r>
            <w:r w:rsidR="00960913">
              <w:rPr>
                <w:rStyle w:val="tlid-translation"/>
              </w:rPr>
              <w:t xml:space="preserve">z </w:t>
            </w:r>
            <w:r w:rsidR="00D64F70">
              <w:rPr>
                <w:rStyle w:val="tlid-translation"/>
              </w:rPr>
              <w:t>system</w:t>
            </w:r>
            <w:r w:rsidR="009A7D5C">
              <w:rPr>
                <w:rStyle w:val="tlid-translation"/>
              </w:rPr>
              <w:t>em</w:t>
            </w:r>
            <w:r w:rsidR="00D64F70">
              <w:rPr>
                <w:rStyle w:val="tlid-translation"/>
              </w:rPr>
              <w:t xml:space="preserve"> </w:t>
            </w:r>
            <w:r w:rsidR="00FD75AE">
              <w:rPr>
                <w:rStyle w:val="tlid-translation"/>
              </w:rPr>
              <w:t>wynagradzania</w:t>
            </w:r>
            <w:r w:rsidR="00D64F70">
              <w:rPr>
                <w:rStyle w:val="tlid-translation"/>
              </w:rPr>
              <w:t xml:space="preserve">, </w:t>
            </w:r>
            <w:r w:rsidR="00FD75AE">
              <w:rPr>
                <w:rStyle w:val="tlid-translation"/>
              </w:rPr>
              <w:t xml:space="preserve">premiowania, </w:t>
            </w:r>
            <w:r w:rsidR="00D64F70">
              <w:rPr>
                <w:rStyle w:val="tlid-translation"/>
              </w:rPr>
              <w:t>świadczenia</w:t>
            </w:r>
            <w:r w:rsidR="009A7D5C">
              <w:rPr>
                <w:rStyle w:val="tlid-translation"/>
              </w:rPr>
              <w:t>mi</w:t>
            </w:r>
            <w:r w:rsidR="00D64F70">
              <w:rPr>
                <w:rStyle w:val="tlid-translation"/>
              </w:rPr>
              <w:t xml:space="preserve"> socjaln</w:t>
            </w:r>
            <w:r w:rsidR="009A7D5C">
              <w:rPr>
                <w:rStyle w:val="tlid-translation"/>
              </w:rPr>
              <w:t>ymi</w:t>
            </w:r>
            <w:r w:rsidR="00D64F70">
              <w:rPr>
                <w:rStyle w:val="tlid-translation"/>
              </w:rPr>
              <w:t xml:space="preserve">). </w:t>
            </w:r>
            <w:r w:rsidR="009A7D5C">
              <w:rPr>
                <w:rStyle w:val="tlid-translation"/>
              </w:rPr>
              <w:t>Aktualnie trwają prace nad ulepszeniem systemu premiowania.</w:t>
            </w:r>
          </w:p>
        </w:tc>
      </w:tr>
      <w:tr w:rsidR="00830F2C" w:rsidRPr="00FD4961" w:rsidTr="000B68B6">
        <w:trPr>
          <w:trHeight w:val="637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6" w:line="270" w:lineRule="atLeast"/>
              <w:ind w:left="107"/>
            </w:pPr>
            <w:r w:rsidRPr="00AC67F4">
              <w:t>10. Czy mamy środki do monitorowania, czy najodpowiedniejsi badacze aplikują?</w:t>
            </w:r>
          </w:p>
        </w:tc>
        <w:tc>
          <w:tcPr>
            <w:tcW w:w="85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830F2C" w:rsidRPr="00FD4961" w:rsidRDefault="0063027C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w znacznym stopniu</w:t>
            </w:r>
          </w:p>
        </w:tc>
        <w:tc>
          <w:tcPr>
            <w:tcW w:w="4642" w:type="dxa"/>
          </w:tcPr>
          <w:p w:rsidR="00D64F70" w:rsidRDefault="00D64F70" w:rsidP="00D64F70">
            <w:pPr>
              <w:pStyle w:val="TableParagraph"/>
              <w:spacing w:before="96" w:line="270" w:lineRule="atLeast"/>
              <w:ind w:right="140"/>
            </w:pPr>
            <w:r>
              <w:rPr>
                <w:rStyle w:val="tlid-translation"/>
              </w:rPr>
              <w:t>Przy każdej rekrutacji komisja</w:t>
            </w:r>
            <w:r w:rsidR="00D12183">
              <w:rPr>
                <w:rStyle w:val="tlid-translation"/>
              </w:rPr>
              <w:t xml:space="preserve"> konkursowa dokonuje oceny merytorycznej aplikantów i </w:t>
            </w:r>
            <w:r>
              <w:rPr>
                <w:rStyle w:val="tlid-translation"/>
              </w:rPr>
              <w:t>rekomenduje najlepszego kandydata</w:t>
            </w:r>
            <w:r w:rsidR="00D12183">
              <w:rPr>
                <w:rStyle w:val="tlid-translation"/>
              </w:rPr>
              <w:t>. Narzędziem pomocniczym jest karta oceny podzielona na 5 bloków tematycznych</w:t>
            </w:r>
            <w:r w:rsidR="00BE30D2">
              <w:rPr>
                <w:rStyle w:val="tlid-translation"/>
              </w:rPr>
              <w:t xml:space="preserve"> </w:t>
            </w:r>
            <w:r w:rsidR="00BE30D2" w:rsidRPr="007674EB">
              <w:rPr>
                <w:rFonts w:asciiTheme="minorHAnsi" w:hAnsiTheme="minorHAnsi" w:cstheme="minorHAnsi"/>
              </w:rPr>
              <w:t xml:space="preserve">pozwalających na dokonanie </w:t>
            </w:r>
            <w:r w:rsidR="00BE30D2">
              <w:rPr>
                <w:rFonts w:asciiTheme="minorHAnsi" w:hAnsiTheme="minorHAnsi" w:cstheme="minorHAnsi"/>
              </w:rPr>
              <w:t xml:space="preserve">punktowej </w:t>
            </w:r>
            <w:r w:rsidR="00BE30D2" w:rsidRPr="007674EB">
              <w:rPr>
                <w:rFonts w:asciiTheme="minorHAnsi" w:hAnsiTheme="minorHAnsi" w:cstheme="minorHAnsi"/>
              </w:rPr>
              <w:t>oceny dorobku naukowego i kwalifikacji kandydata</w:t>
            </w:r>
            <w:r w:rsidR="00BE30D2">
              <w:rPr>
                <w:rFonts w:asciiTheme="minorHAnsi" w:hAnsiTheme="minorHAnsi" w:cstheme="minorHAnsi"/>
              </w:rPr>
              <w:t>.</w:t>
            </w:r>
          </w:p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</w:tr>
      <w:tr w:rsidR="00830F2C" w:rsidRPr="00FD4961" w:rsidTr="00B544FE">
        <w:trPr>
          <w:trHeight w:val="366"/>
        </w:trPr>
        <w:tc>
          <w:tcPr>
            <w:tcW w:w="15911" w:type="dxa"/>
            <w:gridSpan w:val="6"/>
            <w:tcBorders>
              <w:left w:val="nil"/>
              <w:right w:val="nil"/>
            </w:tcBorders>
          </w:tcPr>
          <w:p w:rsidR="00830F2C" w:rsidRDefault="00830F2C">
            <w:pPr>
              <w:pStyle w:val="TableParagraph"/>
              <w:rPr>
                <w:rFonts w:ascii="Times New Roman"/>
              </w:rPr>
            </w:pPr>
          </w:p>
          <w:p w:rsidR="00D64F70" w:rsidRDefault="00D64F70">
            <w:pPr>
              <w:pStyle w:val="TableParagraph"/>
              <w:rPr>
                <w:rFonts w:ascii="Times New Roman"/>
              </w:rPr>
            </w:pPr>
          </w:p>
          <w:p w:rsidR="00D64F70" w:rsidRDefault="00D64F70">
            <w:pPr>
              <w:pStyle w:val="TableParagraph"/>
              <w:rPr>
                <w:rFonts w:ascii="Times New Roman"/>
              </w:rPr>
            </w:pPr>
          </w:p>
          <w:p w:rsidR="00FD75AE" w:rsidRDefault="00FD75AE">
            <w:pPr>
              <w:pStyle w:val="TableParagraph"/>
              <w:rPr>
                <w:rFonts w:ascii="Times New Roman"/>
              </w:rPr>
            </w:pPr>
          </w:p>
          <w:p w:rsidR="00FD75AE" w:rsidRDefault="00FD75AE">
            <w:pPr>
              <w:pStyle w:val="TableParagraph"/>
              <w:rPr>
                <w:rFonts w:ascii="Times New Roman"/>
              </w:rPr>
            </w:pPr>
          </w:p>
          <w:p w:rsidR="00FD75AE" w:rsidRDefault="00FD75AE">
            <w:pPr>
              <w:pStyle w:val="TableParagraph"/>
              <w:rPr>
                <w:rFonts w:ascii="Times New Roman"/>
              </w:rPr>
            </w:pPr>
          </w:p>
          <w:p w:rsidR="0063027C" w:rsidRDefault="0063027C">
            <w:pPr>
              <w:pStyle w:val="TableParagraph"/>
              <w:rPr>
                <w:rFonts w:ascii="Times New Roman"/>
              </w:rPr>
            </w:pPr>
          </w:p>
          <w:p w:rsidR="00D64F70" w:rsidRDefault="00D64F70">
            <w:pPr>
              <w:pStyle w:val="TableParagraph"/>
              <w:rPr>
                <w:rFonts w:ascii="Times New Roman"/>
              </w:rPr>
            </w:pPr>
          </w:p>
          <w:p w:rsidR="00D64F70" w:rsidRPr="00FD4961" w:rsidRDefault="00D64F70">
            <w:pPr>
              <w:pStyle w:val="TableParagraph"/>
              <w:rPr>
                <w:rFonts w:ascii="Times New Roman"/>
              </w:rPr>
            </w:pPr>
          </w:p>
        </w:tc>
      </w:tr>
      <w:tr w:rsidR="00830F2C" w:rsidRPr="00FD4961" w:rsidTr="000B68B6">
        <w:trPr>
          <w:trHeight w:val="393"/>
        </w:trPr>
        <w:tc>
          <w:tcPr>
            <w:tcW w:w="5847" w:type="dxa"/>
          </w:tcPr>
          <w:p w:rsidR="00830F2C" w:rsidRPr="00FD4961" w:rsidRDefault="004C5AD8">
            <w:pPr>
              <w:pStyle w:val="TableParagraph"/>
              <w:spacing w:before="97" w:line="276" w:lineRule="exact"/>
              <w:ind w:left="107"/>
              <w:rPr>
                <w:b/>
                <w:sz w:val="24"/>
              </w:rPr>
            </w:pPr>
            <w:r w:rsidRPr="00FD4961">
              <w:rPr>
                <w:b/>
                <w:sz w:val="24"/>
              </w:rPr>
              <w:lastRenderedPageBreak/>
              <w:t>Etap zamieszczenia ogłoszenia i aplikacji</w:t>
            </w:r>
          </w:p>
        </w:tc>
        <w:tc>
          <w:tcPr>
            <w:tcW w:w="850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2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</w:tr>
      <w:tr w:rsidR="00830F2C" w:rsidRPr="00FD4961" w:rsidTr="000B68B6">
        <w:trPr>
          <w:trHeight w:val="638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6" w:line="270" w:lineRule="atLeast"/>
              <w:ind w:left="107"/>
            </w:pPr>
            <w:r w:rsidRPr="00AC67F4">
              <w:t>11. Czy mamy jasne wytyczne lub szablony (np. EURAXESS) do zamieszczania ogłoszeń o pracę?</w:t>
            </w:r>
          </w:p>
        </w:tc>
        <w:tc>
          <w:tcPr>
            <w:tcW w:w="850" w:type="dxa"/>
          </w:tcPr>
          <w:p w:rsidR="00830F2C" w:rsidRPr="00FD4961" w:rsidRDefault="004C5AD8">
            <w:pPr>
              <w:pStyle w:val="TableParagraph"/>
              <w:spacing w:before="97"/>
              <w:ind w:left="491"/>
            </w:pPr>
            <w:r w:rsidRPr="00FD4961">
              <w:t>x</w:t>
            </w: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830F2C" w:rsidRPr="00FD4961" w:rsidRDefault="00E909AE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całkowicie</w:t>
            </w:r>
          </w:p>
        </w:tc>
        <w:tc>
          <w:tcPr>
            <w:tcW w:w="4642" w:type="dxa"/>
          </w:tcPr>
          <w:p w:rsidR="008C3000" w:rsidRPr="008C3000" w:rsidRDefault="008C3000" w:rsidP="007D3CA1">
            <w:pPr>
              <w:pStyle w:val="TableParagraph"/>
            </w:pPr>
            <w:r>
              <w:rPr>
                <w:rStyle w:val="tlid-translation"/>
              </w:rPr>
              <w:t xml:space="preserve">Opracowany został wzór ogłoszenia o pracę, który stanowi załącznik do Regulaminu przeprowadzania konkursów na stanowiska naukowe w </w:t>
            </w:r>
            <w:proofErr w:type="spellStart"/>
            <w:r>
              <w:rPr>
                <w:rStyle w:val="tlid-translation"/>
              </w:rPr>
              <w:t>IRZiBŻ</w:t>
            </w:r>
            <w:proofErr w:type="spellEnd"/>
            <w:r>
              <w:rPr>
                <w:rStyle w:val="tlid-translation"/>
              </w:rPr>
              <w:t xml:space="preserve"> PAN. </w:t>
            </w:r>
          </w:p>
        </w:tc>
      </w:tr>
      <w:tr w:rsidR="00830F2C" w:rsidRPr="00FD4961" w:rsidTr="000B68B6">
        <w:trPr>
          <w:trHeight w:val="904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tabs>
                <w:tab w:val="left" w:pos="608"/>
                <w:tab w:val="left" w:pos="1083"/>
                <w:tab w:val="left" w:pos="1573"/>
                <w:tab w:val="left" w:pos="2444"/>
                <w:tab w:val="left" w:pos="2830"/>
                <w:tab w:val="left" w:pos="3353"/>
                <w:tab w:val="left" w:pos="3859"/>
              </w:tabs>
              <w:spacing w:before="98"/>
              <w:ind w:left="107" w:right="95"/>
              <w:rPr>
                <w:spacing w:val="-2"/>
              </w:rPr>
            </w:pPr>
            <w:r w:rsidRPr="00AC67F4">
              <w:rPr>
                <w:spacing w:val="-2"/>
              </w:rPr>
              <w:t>12.</w:t>
            </w:r>
            <w:r w:rsidRPr="00AC67F4">
              <w:rPr>
                <w:spacing w:val="-2"/>
              </w:rPr>
              <w:tab/>
              <w:t xml:space="preserve">Czy w łączach/odniesieniach </w:t>
            </w:r>
            <w:r w:rsidR="0054715F" w:rsidRPr="00AC67F4">
              <w:rPr>
                <w:spacing w:val="-2"/>
              </w:rPr>
              <w:t xml:space="preserve">w </w:t>
            </w:r>
            <w:r w:rsidRPr="00AC67F4">
              <w:rPr>
                <w:spacing w:val="-2"/>
              </w:rPr>
              <w:t>ogłoszenia</w:t>
            </w:r>
            <w:r w:rsidR="0054715F" w:rsidRPr="00AC67F4">
              <w:rPr>
                <w:spacing w:val="-2"/>
              </w:rPr>
              <w:t>ch</w:t>
            </w:r>
            <w:r w:rsidRPr="00AC67F4">
              <w:rPr>
                <w:spacing w:val="-2"/>
              </w:rPr>
              <w:t xml:space="preserve"> o pracę uwzględniamy wszystkie elementy przewidziane w</w:t>
            </w:r>
          </w:p>
          <w:p w:rsidR="00830F2C" w:rsidRPr="00AC67F4" w:rsidRDefault="004C5AD8" w:rsidP="00AC67F4">
            <w:pPr>
              <w:pStyle w:val="TableParagraph"/>
              <w:spacing w:line="250" w:lineRule="exact"/>
              <w:ind w:left="107"/>
            </w:pPr>
            <w:r w:rsidRPr="00AC67F4">
              <w:rPr>
                <w:spacing w:val="-2"/>
              </w:rPr>
              <w:t xml:space="preserve">odpowiedniej części zestawu narzędzi? </w:t>
            </w:r>
            <w:r w:rsidR="00AC67F4">
              <w:rPr>
                <w:spacing w:val="-2"/>
              </w:rPr>
              <w:t xml:space="preserve"> </w:t>
            </w:r>
          </w:p>
        </w:tc>
        <w:tc>
          <w:tcPr>
            <w:tcW w:w="850" w:type="dxa"/>
          </w:tcPr>
          <w:p w:rsidR="00830F2C" w:rsidRPr="00AC67F4" w:rsidRDefault="004C5AD8">
            <w:pPr>
              <w:pStyle w:val="TableParagraph"/>
              <w:spacing w:before="98"/>
              <w:ind w:left="491"/>
            </w:pPr>
            <w:r w:rsidRPr="00AC67F4">
              <w:t>x</w:t>
            </w: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8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830F2C" w:rsidRPr="00FD4961" w:rsidRDefault="005F7568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w znacznym stopniu</w:t>
            </w:r>
          </w:p>
        </w:tc>
        <w:tc>
          <w:tcPr>
            <w:tcW w:w="4642" w:type="dxa"/>
          </w:tcPr>
          <w:p w:rsidR="007D3CA1" w:rsidRDefault="007D3CA1" w:rsidP="007D3CA1">
            <w:pPr>
              <w:pStyle w:val="TableParagraph"/>
              <w:rPr>
                <w:rStyle w:val="tlid-translation"/>
              </w:rPr>
            </w:pPr>
            <w:r>
              <w:rPr>
                <w:rStyle w:val="tlid-translation"/>
              </w:rPr>
              <w:t>W ogłoszeniach o pracę zamieszczane są poniższe informacje:</w:t>
            </w:r>
          </w:p>
          <w:p w:rsidR="007D3CA1" w:rsidRDefault="007D3CA1" w:rsidP="007D3CA1">
            <w:pPr>
              <w:pStyle w:val="TableParagraph"/>
              <w:numPr>
                <w:ilvl w:val="0"/>
                <w:numId w:val="4"/>
              </w:numPr>
              <w:rPr>
                <w:rStyle w:val="tlid-translation"/>
              </w:rPr>
            </w:pPr>
            <w:r>
              <w:rPr>
                <w:rStyle w:val="tlid-translation"/>
              </w:rPr>
              <w:t>Informacja o nazwie stanowiska, specyfikacji i przewidywanej dacie rozpoczęcia pracy.</w:t>
            </w:r>
          </w:p>
          <w:p w:rsidR="007D3CA1" w:rsidRDefault="007D3CA1" w:rsidP="007D3CA1">
            <w:pPr>
              <w:pStyle w:val="TableParagraph"/>
              <w:numPr>
                <w:ilvl w:val="0"/>
                <w:numId w:val="4"/>
              </w:numPr>
              <w:rPr>
                <w:rStyle w:val="tlid-translation"/>
              </w:rPr>
            </w:pPr>
            <w:r>
              <w:rPr>
                <w:rStyle w:val="tlid-translation"/>
              </w:rPr>
              <w:t>Informacja na temat jednostki rekrutującej z linkiem do strony internetowej Instytutu.</w:t>
            </w:r>
          </w:p>
          <w:p w:rsidR="007D3CA1" w:rsidRDefault="007D3CA1" w:rsidP="007D3CA1">
            <w:pPr>
              <w:pStyle w:val="TableParagraph"/>
              <w:numPr>
                <w:ilvl w:val="0"/>
                <w:numId w:val="4"/>
              </w:numPr>
              <w:rPr>
                <w:rStyle w:val="tlid-translation"/>
              </w:rPr>
            </w:pPr>
            <w:r>
              <w:rPr>
                <w:rStyle w:val="tlid-translation"/>
              </w:rPr>
              <w:t>Informacja o badaniach naukowych, w których kandydat miałby uczestniczyć.</w:t>
            </w:r>
          </w:p>
          <w:p w:rsidR="007D3CA1" w:rsidRDefault="007D3CA1" w:rsidP="007D3CA1">
            <w:pPr>
              <w:pStyle w:val="TableParagraph"/>
              <w:numPr>
                <w:ilvl w:val="0"/>
                <w:numId w:val="4"/>
              </w:numPr>
              <w:rPr>
                <w:rStyle w:val="tlid-translation"/>
              </w:rPr>
            </w:pPr>
            <w:r>
              <w:rPr>
                <w:rStyle w:val="tlid-translation"/>
              </w:rPr>
              <w:t xml:space="preserve"> Informacja o warunkach pracy i perspektywach rozwoju zawodowego.</w:t>
            </w:r>
          </w:p>
          <w:p w:rsidR="007D3CA1" w:rsidRDefault="007D3CA1" w:rsidP="007D3CA1">
            <w:pPr>
              <w:pStyle w:val="TableParagraph"/>
              <w:numPr>
                <w:ilvl w:val="0"/>
                <w:numId w:val="4"/>
              </w:numPr>
              <w:rPr>
                <w:rStyle w:val="tlid-translation"/>
              </w:rPr>
            </w:pPr>
            <w:r>
              <w:rPr>
                <w:rStyle w:val="tlid-translation"/>
              </w:rPr>
              <w:t>Wymagania kwalifikacyjne kandydata.</w:t>
            </w:r>
          </w:p>
          <w:p w:rsidR="007D3CA1" w:rsidRDefault="007D3CA1" w:rsidP="007D3CA1">
            <w:pPr>
              <w:pStyle w:val="TableParagraph"/>
              <w:numPr>
                <w:ilvl w:val="0"/>
                <w:numId w:val="4"/>
              </w:numPr>
              <w:rPr>
                <w:rStyle w:val="tlid-translation"/>
              </w:rPr>
            </w:pPr>
            <w:r>
              <w:rPr>
                <w:rStyle w:val="tlid-translation"/>
              </w:rPr>
              <w:t>Informacja o liczbie dostępnych stanowisk.</w:t>
            </w:r>
          </w:p>
          <w:p w:rsidR="007D3CA1" w:rsidRDefault="007D3CA1" w:rsidP="007D3CA1">
            <w:pPr>
              <w:pStyle w:val="TableParagraph"/>
              <w:numPr>
                <w:ilvl w:val="0"/>
                <w:numId w:val="4"/>
              </w:numPr>
              <w:rPr>
                <w:rStyle w:val="tlid-translation"/>
              </w:rPr>
            </w:pPr>
            <w:r>
              <w:rPr>
                <w:rStyle w:val="tlid-translation"/>
              </w:rPr>
              <w:t>Dokumenty aplikacyjne wymagane od kandydata.</w:t>
            </w:r>
          </w:p>
          <w:p w:rsidR="007D3CA1" w:rsidRDefault="007D3CA1" w:rsidP="007D3CA1">
            <w:pPr>
              <w:pStyle w:val="TableParagraph"/>
              <w:numPr>
                <w:ilvl w:val="0"/>
                <w:numId w:val="4"/>
              </w:numPr>
              <w:rPr>
                <w:rStyle w:val="tlid-translation"/>
              </w:rPr>
            </w:pPr>
            <w:r>
              <w:rPr>
                <w:rStyle w:val="tlid-translation"/>
              </w:rPr>
              <w:t>Informacja o terminie, sposobie i miejscu aplikowania na konkurs.</w:t>
            </w:r>
          </w:p>
          <w:p w:rsidR="00830F2C" w:rsidRDefault="007D3CA1" w:rsidP="007D3CA1">
            <w:pPr>
              <w:pStyle w:val="TableParagraph"/>
              <w:numPr>
                <w:ilvl w:val="0"/>
                <w:numId w:val="4"/>
              </w:numPr>
              <w:rPr>
                <w:rStyle w:val="tlid-translation"/>
              </w:rPr>
            </w:pPr>
            <w:r>
              <w:rPr>
                <w:rStyle w:val="tlid-translation"/>
              </w:rPr>
              <w:t>Informacja o terminie rozstrzygnięcia konkursu.</w:t>
            </w:r>
          </w:p>
          <w:p w:rsidR="00ED6B7C" w:rsidRPr="0063027C" w:rsidRDefault="007D3CA1" w:rsidP="0063027C">
            <w:pPr>
              <w:pStyle w:val="TableParagraph"/>
              <w:ind w:left="360"/>
            </w:pPr>
            <w:r>
              <w:rPr>
                <w:rStyle w:val="tlid-translation"/>
              </w:rPr>
              <w:t>W ogłoszeniu</w:t>
            </w:r>
            <w:r w:rsidR="005F7568">
              <w:rPr>
                <w:rStyle w:val="tlid-translation"/>
              </w:rPr>
              <w:t xml:space="preserve"> doprecyzowane zostaną </w:t>
            </w:r>
            <w:r>
              <w:rPr>
                <w:rStyle w:val="tlid-translation"/>
              </w:rPr>
              <w:t>kryteria selekcji</w:t>
            </w:r>
            <w:r w:rsidR="005F7568">
              <w:rPr>
                <w:rStyle w:val="tlid-translation"/>
              </w:rPr>
              <w:t xml:space="preserve"> z uwzględnieniem ich wagi oraz odwołania do polityki </w:t>
            </w:r>
            <w:proofErr w:type="spellStart"/>
            <w:r w:rsidR="005F7568">
              <w:rPr>
                <w:rStyle w:val="tlid-translation"/>
              </w:rPr>
              <w:t>OTM-R</w:t>
            </w:r>
            <w:proofErr w:type="spellEnd"/>
            <w:r w:rsidR="005F7568">
              <w:rPr>
                <w:rStyle w:val="tlid-translation"/>
              </w:rPr>
              <w:t xml:space="preserve"> Instytutu i polityki równych szans.</w:t>
            </w:r>
          </w:p>
        </w:tc>
      </w:tr>
      <w:tr w:rsidR="00830F2C" w:rsidRPr="00FD4961" w:rsidTr="000B68B6">
        <w:trPr>
          <w:trHeight w:val="906"/>
        </w:trPr>
        <w:tc>
          <w:tcPr>
            <w:tcW w:w="5847" w:type="dxa"/>
          </w:tcPr>
          <w:p w:rsidR="00830F2C" w:rsidRPr="00AC67F4" w:rsidRDefault="004C5AD8" w:rsidP="000B68B6">
            <w:pPr>
              <w:pStyle w:val="TableParagraph"/>
              <w:spacing w:before="102" w:line="237" w:lineRule="auto"/>
              <w:ind w:left="107"/>
            </w:pPr>
            <w:r w:rsidRPr="00AC67F4">
              <w:t>13. Czy w pełni wykorzystujemy EURAXESS, by</w:t>
            </w:r>
            <w:r w:rsidR="000B68B6" w:rsidRPr="00AC67F4">
              <w:t xml:space="preserve"> </w:t>
            </w:r>
            <w:r w:rsidRPr="00AC67F4">
              <w:t>zagwarantować, że nasze wakaty naukowe dosięgną szerszych odbiorców?</w:t>
            </w:r>
          </w:p>
        </w:tc>
        <w:tc>
          <w:tcPr>
            <w:tcW w:w="850" w:type="dxa"/>
          </w:tcPr>
          <w:p w:rsidR="00830F2C" w:rsidRPr="00FD4961" w:rsidRDefault="004C5AD8">
            <w:pPr>
              <w:pStyle w:val="TableParagraph"/>
              <w:spacing w:before="100"/>
              <w:ind w:left="491"/>
            </w:pPr>
            <w:r w:rsidRPr="00FD4961">
              <w:t>x</w:t>
            </w: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100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830F2C" w:rsidRPr="00FD4961" w:rsidRDefault="005F7568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w znacznym stopniu</w:t>
            </w:r>
          </w:p>
        </w:tc>
        <w:tc>
          <w:tcPr>
            <w:tcW w:w="4642" w:type="dxa"/>
          </w:tcPr>
          <w:p w:rsidR="00830F2C" w:rsidRPr="00FD4961" w:rsidRDefault="005F7568" w:rsidP="00DD51CC">
            <w:pPr>
              <w:pStyle w:val="TableParagraph"/>
              <w:tabs>
                <w:tab w:val="left" w:pos="233"/>
              </w:tabs>
              <w:spacing w:line="267" w:lineRule="exact"/>
              <w:ind w:left="233"/>
            </w:pPr>
            <w:r>
              <w:t>Tak</w:t>
            </w:r>
            <w:r w:rsidR="008E4C42">
              <w:t>. J</w:t>
            </w:r>
            <w:r w:rsidR="00B03D30">
              <w:t xml:space="preserve">ednak ogłoszenia o pracę na stronie </w:t>
            </w:r>
            <w:r w:rsidR="00B03D30">
              <w:rPr>
                <w:rStyle w:val="tlid-translation"/>
              </w:rPr>
              <w:t>EURAXESS wymagają uzupełnienia o linki do strony internetowej</w:t>
            </w:r>
            <w:r w:rsidR="008E4C42">
              <w:rPr>
                <w:rStyle w:val="tlid-translation"/>
              </w:rPr>
              <w:t xml:space="preserve"> Instytutu</w:t>
            </w:r>
            <w:r w:rsidR="00B03D30">
              <w:rPr>
                <w:rStyle w:val="tlid-translation"/>
              </w:rPr>
              <w:t xml:space="preserve"> </w:t>
            </w:r>
            <w:r w:rsidR="008E4C42">
              <w:rPr>
                <w:rStyle w:val="tlid-translation"/>
              </w:rPr>
              <w:t>ze szczegółowymi informacjami w zakresie rekrutacji i kryteriów selekcji. Aktualnie trwają prace nad u</w:t>
            </w:r>
            <w:r w:rsidR="00DD51CC">
              <w:rPr>
                <w:rStyle w:val="tlid-translation"/>
              </w:rPr>
              <w:t xml:space="preserve">porządkowaniem </w:t>
            </w:r>
            <w:r w:rsidR="008E4C42">
              <w:rPr>
                <w:rStyle w:val="tlid-translation"/>
              </w:rPr>
              <w:t>strony internetowej Instytutu o wszystkie informacje niezbędne dla kandydata aplikującego na stanowisko naukowe</w:t>
            </w:r>
            <w:r w:rsidR="00DD51CC">
              <w:rPr>
                <w:rStyle w:val="tlid-translation"/>
              </w:rPr>
              <w:t xml:space="preserve"> w Instytucie.</w:t>
            </w:r>
          </w:p>
        </w:tc>
      </w:tr>
      <w:tr w:rsidR="00830F2C" w:rsidRPr="00FD4961" w:rsidTr="000B68B6">
        <w:trPr>
          <w:trHeight w:val="369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7" w:line="252" w:lineRule="exact"/>
              <w:ind w:left="107"/>
            </w:pPr>
            <w:r w:rsidRPr="00AC67F4">
              <w:lastRenderedPageBreak/>
              <w:t>14. Czy korzystamy z innych narzędzi do zamieszczania ogłoszeń o pracę?</w:t>
            </w:r>
          </w:p>
        </w:tc>
        <w:tc>
          <w:tcPr>
            <w:tcW w:w="850" w:type="dxa"/>
          </w:tcPr>
          <w:p w:rsidR="00830F2C" w:rsidRPr="00FD4961" w:rsidRDefault="004C5AD8">
            <w:pPr>
              <w:pStyle w:val="TableParagraph"/>
              <w:spacing w:before="97" w:line="252" w:lineRule="exact"/>
              <w:ind w:left="491"/>
            </w:pPr>
            <w:r w:rsidRPr="00FD4961">
              <w:t>x</w:t>
            </w: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 w:line="252" w:lineRule="exact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830F2C" w:rsidRPr="00FD4961" w:rsidRDefault="00DD51CC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całkowicie</w:t>
            </w:r>
          </w:p>
        </w:tc>
        <w:tc>
          <w:tcPr>
            <w:tcW w:w="4642" w:type="dxa"/>
          </w:tcPr>
          <w:p w:rsidR="00830F2C" w:rsidRPr="00FD4961" w:rsidRDefault="00D64F70" w:rsidP="00DD51CC">
            <w:pPr>
              <w:pStyle w:val="TableParagraph"/>
              <w:rPr>
                <w:rFonts w:ascii="Times New Roman"/>
              </w:rPr>
            </w:pPr>
            <w:r>
              <w:rPr>
                <w:rStyle w:val="tlid-translation"/>
              </w:rPr>
              <w:t>Oprócz portalu EURAXESS</w:t>
            </w:r>
            <w:r w:rsidR="00DD51CC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 xml:space="preserve"> oferty pracy </w:t>
            </w:r>
            <w:r w:rsidR="00DD51CC">
              <w:rPr>
                <w:rStyle w:val="tlid-translation"/>
              </w:rPr>
              <w:t xml:space="preserve">na stanowiska naukowe </w:t>
            </w:r>
            <w:r>
              <w:rPr>
                <w:rStyle w:val="tlid-translation"/>
              </w:rPr>
              <w:t>publikowane</w:t>
            </w:r>
            <w:r w:rsidR="00DD51CC">
              <w:rPr>
                <w:rStyle w:val="tlid-translation"/>
              </w:rPr>
              <w:t xml:space="preserve"> są </w:t>
            </w:r>
            <w:r>
              <w:rPr>
                <w:rStyle w:val="tlid-translation"/>
              </w:rPr>
              <w:t xml:space="preserve"> na </w:t>
            </w:r>
            <w:r w:rsidR="00DD51CC">
              <w:rPr>
                <w:rStyle w:val="tlid-translation"/>
              </w:rPr>
              <w:t>stronie Instytutu, w zakładce Kariera i wsparcie mobilności</w:t>
            </w:r>
            <w:r>
              <w:rPr>
                <w:rStyle w:val="tlid-translation"/>
              </w:rPr>
              <w:t xml:space="preserve"> oraz na stronie Ministerstwa Nauki i Szkolnictwa Wyższego.</w:t>
            </w:r>
          </w:p>
        </w:tc>
      </w:tr>
      <w:tr w:rsidR="00830F2C" w:rsidRPr="00FD4961" w:rsidTr="000B68B6">
        <w:trPr>
          <w:trHeight w:val="636"/>
        </w:trPr>
        <w:tc>
          <w:tcPr>
            <w:tcW w:w="5847" w:type="dxa"/>
          </w:tcPr>
          <w:p w:rsidR="00830F2C" w:rsidRPr="00AC67F4" w:rsidRDefault="004C5AD8" w:rsidP="00AC67F4">
            <w:pPr>
              <w:pStyle w:val="TableParagraph"/>
              <w:spacing w:before="94" w:line="266" w:lineRule="exact"/>
              <w:ind w:left="107" w:right="133"/>
            </w:pPr>
            <w:r w:rsidRPr="00AC67F4">
              <w:t xml:space="preserve">15. Czy minimalizujemy obciążenie administracyjne do minimum dla kandydata? </w:t>
            </w:r>
            <w:r w:rsidR="00AC67F4" w:rsidRPr="00AC67F4">
              <w:t xml:space="preserve"> </w:t>
            </w:r>
          </w:p>
        </w:tc>
        <w:tc>
          <w:tcPr>
            <w:tcW w:w="850" w:type="dxa"/>
          </w:tcPr>
          <w:p w:rsidR="00830F2C" w:rsidRPr="00FD4961" w:rsidRDefault="004C5AD8">
            <w:pPr>
              <w:pStyle w:val="TableParagraph"/>
              <w:spacing w:before="97"/>
              <w:ind w:left="491"/>
            </w:pPr>
            <w:r w:rsidRPr="00FD4961">
              <w:t>x</w:t>
            </w:r>
          </w:p>
        </w:tc>
        <w:tc>
          <w:tcPr>
            <w:tcW w:w="1092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830F2C" w:rsidRPr="00FD4961" w:rsidRDefault="002427D5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w znacznym stopniu</w:t>
            </w:r>
          </w:p>
        </w:tc>
        <w:tc>
          <w:tcPr>
            <w:tcW w:w="4642" w:type="dxa"/>
          </w:tcPr>
          <w:p w:rsidR="00830F2C" w:rsidRPr="00FD4961" w:rsidRDefault="002427D5" w:rsidP="002427D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Kandydaci aplikuj</w:t>
            </w:r>
            <w:r>
              <w:rPr>
                <w:rFonts w:ascii="Times New Roman"/>
              </w:rPr>
              <w:t>ą</w:t>
            </w:r>
            <w:r>
              <w:rPr>
                <w:rFonts w:ascii="Times New Roman"/>
              </w:rPr>
              <w:t xml:space="preserve"> na stanowisko naukowe drog</w:t>
            </w:r>
            <w:r>
              <w:rPr>
                <w:rFonts w:ascii="Times New Roman"/>
              </w:rPr>
              <w:t>ą</w:t>
            </w:r>
            <w:r>
              <w:rPr>
                <w:rFonts w:ascii="Times New Roman"/>
              </w:rPr>
              <w:t xml:space="preserve"> elektroniczn</w:t>
            </w:r>
            <w:r>
              <w:rPr>
                <w:rFonts w:ascii="Times New Roman"/>
              </w:rPr>
              <w:t>ą</w:t>
            </w:r>
            <w:r>
              <w:rPr>
                <w:rFonts w:ascii="Times New Roman"/>
              </w:rPr>
              <w:t>. Komisja rekrutacyjna na etapie rekrutacji dopuszcza przed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</w:rPr>
              <w:t>ż</w:t>
            </w:r>
            <w:r>
              <w:rPr>
                <w:rFonts w:ascii="Times New Roman"/>
              </w:rPr>
              <w:t>enie kopii dokument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>w. Aktualnie trwaj</w:t>
            </w:r>
            <w:r>
              <w:rPr>
                <w:rFonts w:ascii="Times New Roman"/>
              </w:rPr>
              <w:t>ą</w:t>
            </w:r>
            <w:r>
              <w:rPr>
                <w:rFonts w:ascii="Times New Roman"/>
              </w:rPr>
              <w:t xml:space="preserve"> prace nad uzupe</w:t>
            </w:r>
            <w:r>
              <w:rPr>
                <w:rFonts w:ascii="Times New Roman"/>
              </w:rPr>
              <w:t>ł</w:t>
            </w:r>
            <w:r>
              <w:rPr>
                <w:rFonts w:ascii="Times New Roman"/>
              </w:rPr>
              <w:t>nieniem zapis</w:t>
            </w:r>
            <w:r>
              <w:rPr>
                <w:rFonts w:ascii="Times New Roman"/>
              </w:rPr>
              <w:t>ó</w:t>
            </w:r>
            <w:r>
              <w:rPr>
                <w:rFonts w:ascii="Times New Roman"/>
              </w:rPr>
              <w:t xml:space="preserve">w w Regulaminie </w:t>
            </w:r>
            <w:r>
              <w:rPr>
                <w:rStyle w:val="tlid-translation"/>
              </w:rPr>
              <w:t xml:space="preserve">przeprowadzania konkursów na stanowiska naukowe w </w:t>
            </w:r>
            <w:proofErr w:type="spellStart"/>
            <w:r>
              <w:rPr>
                <w:rStyle w:val="tlid-translation"/>
              </w:rPr>
              <w:t>IRZiBŻ</w:t>
            </w:r>
            <w:proofErr w:type="spellEnd"/>
            <w:r>
              <w:rPr>
                <w:rStyle w:val="tlid-translation"/>
              </w:rPr>
              <w:t xml:space="preserve"> PAN o możliwość uzupełnienia nie dostarczonej przez kandydata dokumentacji w terminie 7 dni.  </w:t>
            </w:r>
          </w:p>
        </w:tc>
      </w:tr>
      <w:tr w:rsidR="00830F2C" w:rsidRPr="00FD4961" w:rsidTr="00B544FE">
        <w:trPr>
          <w:trHeight w:val="369"/>
        </w:trPr>
        <w:tc>
          <w:tcPr>
            <w:tcW w:w="15911" w:type="dxa"/>
            <w:gridSpan w:val="6"/>
            <w:tcBorders>
              <w:left w:val="nil"/>
            </w:tcBorders>
          </w:tcPr>
          <w:p w:rsidR="00D64F70" w:rsidRPr="00FD4961" w:rsidRDefault="00D64F70">
            <w:pPr>
              <w:pStyle w:val="TableParagraph"/>
              <w:rPr>
                <w:rFonts w:ascii="Times New Roman"/>
              </w:rPr>
            </w:pPr>
          </w:p>
        </w:tc>
      </w:tr>
      <w:tr w:rsidR="00830F2C" w:rsidRPr="00FD4961" w:rsidTr="000B68B6">
        <w:trPr>
          <w:trHeight w:val="393"/>
        </w:trPr>
        <w:tc>
          <w:tcPr>
            <w:tcW w:w="5847" w:type="dxa"/>
          </w:tcPr>
          <w:p w:rsidR="00830F2C" w:rsidRPr="00FD4961" w:rsidRDefault="004C5AD8">
            <w:pPr>
              <w:pStyle w:val="TableParagraph"/>
              <w:spacing w:before="97" w:line="276" w:lineRule="exact"/>
              <w:ind w:left="107"/>
              <w:rPr>
                <w:b/>
                <w:sz w:val="24"/>
              </w:rPr>
            </w:pPr>
            <w:r w:rsidRPr="00FD4961">
              <w:rPr>
                <w:b/>
                <w:sz w:val="24"/>
              </w:rPr>
              <w:t>Etap selekcji i oceny</w:t>
            </w:r>
          </w:p>
        </w:tc>
        <w:tc>
          <w:tcPr>
            <w:tcW w:w="850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2" w:type="dxa"/>
            <w:shd w:val="clear" w:color="auto" w:fill="A6A6A6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</w:tr>
      <w:tr w:rsidR="00830F2C" w:rsidRPr="00FD4961" w:rsidTr="000B68B6">
        <w:trPr>
          <w:trHeight w:val="637"/>
        </w:trPr>
        <w:tc>
          <w:tcPr>
            <w:tcW w:w="5847" w:type="dxa"/>
          </w:tcPr>
          <w:p w:rsidR="00830F2C" w:rsidRPr="00AC67F4" w:rsidRDefault="004C5AD8" w:rsidP="00AC67F4">
            <w:pPr>
              <w:pStyle w:val="TableParagraph"/>
              <w:spacing w:before="96" w:line="270" w:lineRule="atLeast"/>
              <w:ind w:left="107" w:right="133"/>
            </w:pPr>
            <w:r w:rsidRPr="00AC67F4">
              <w:t xml:space="preserve">16. Czy mamy jasne zasady regulujące wyznaczanie komisji rekrutacyjnych? </w:t>
            </w:r>
            <w:r w:rsidR="00AC67F4" w:rsidRPr="00AC67F4">
              <w:t xml:space="preserve"> </w:t>
            </w:r>
          </w:p>
        </w:tc>
        <w:tc>
          <w:tcPr>
            <w:tcW w:w="85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4C5AD8">
            <w:pPr>
              <w:pStyle w:val="TableParagraph"/>
              <w:spacing w:before="97"/>
              <w:ind w:left="611"/>
            </w:pPr>
            <w:r w:rsidRPr="00FD4961">
              <w:t>x</w:t>
            </w:r>
          </w:p>
        </w:tc>
        <w:tc>
          <w:tcPr>
            <w:tcW w:w="2160" w:type="dxa"/>
          </w:tcPr>
          <w:p w:rsidR="00830F2C" w:rsidRPr="00FD4961" w:rsidRDefault="005A0FA8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całkowicie</w:t>
            </w:r>
          </w:p>
        </w:tc>
        <w:tc>
          <w:tcPr>
            <w:tcW w:w="4642" w:type="dxa"/>
          </w:tcPr>
          <w:p w:rsidR="00D64F70" w:rsidRDefault="005A0FA8">
            <w:pPr>
              <w:pStyle w:val="TableParagraph"/>
              <w:spacing w:before="97"/>
              <w:ind w:left="108"/>
              <w:rPr>
                <w:rStyle w:val="tlid-translation"/>
              </w:rPr>
            </w:pPr>
            <w:r>
              <w:rPr>
                <w:rStyle w:val="tlid-translation"/>
              </w:rPr>
              <w:t xml:space="preserve">Zgodnie z Regulaminem przeprowadzania konkursów na stanowiska naukowe w </w:t>
            </w:r>
            <w:proofErr w:type="spellStart"/>
            <w:r>
              <w:rPr>
                <w:rStyle w:val="tlid-translation"/>
              </w:rPr>
              <w:t>IRZiBŻ</w:t>
            </w:r>
            <w:proofErr w:type="spellEnd"/>
            <w:r>
              <w:rPr>
                <w:rStyle w:val="tlid-translation"/>
              </w:rPr>
              <w:t xml:space="preserve"> PAN postępowanie rekrutacyjne przeprowadza Komisja konkursowa powoływana każdorazowo w drodze zarządzenia Dyrektora Instytutu.</w:t>
            </w:r>
          </w:p>
          <w:p w:rsidR="005A0FA8" w:rsidRDefault="005A0FA8">
            <w:pPr>
              <w:pStyle w:val="TableParagraph"/>
              <w:spacing w:before="97"/>
              <w:ind w:left="108"/>
            </w:pPr>
          </w:p>
          <w:p w:rsidR="00830F2C" w:rsidRPr="00FD4961" w:rsidRDefault="00830F2C">
            <w:pPr>
              <w:pStyle w:val="TableParagraph"/>
              <w:spacing w:before="97"/>
              <w:ind w:left="108"/>
            </w:pPr>
          </w:p>
        </w:tc>
      </w:tr>
    </w:tbl>
    <w:p w:rsidR="00830F2C" w:rsidRPr="00FD4961" w:rsidRDefault="00830F2C">
      <w:pPr>
        <w:sectPr w:rsidR="00830F2C" w:rsidRPr="00FD4961">
          <w:footerReference w:type="default" r:id="rId9"/>
          <w:pgSz w:w="16840" w:h="11910" w:orient="landscape"/>
          <w:pgMar w:top="1100" w:right="380" w:bottom="840" w:left="380" w:header="0" w:footer="654" w:gutter="0"/>
          <w:pgNumType w:start="2"/>
          <w:cols w:space="720"/>
        </w:sectPr>
      </w:pPr>
    </w:p>
    <w:p w:rsidR="00830F2C" w:rsidRPr="00FD4961" w:rsidRDefault="00830F2C">
      <w:pPr>
        <w:pStyle w:val="Tekstpodstawowy"/>
        <w:spacing w:before="11"/>
        <w:rPr>
          <w:rFonts w:ascii="Times New Roman"/>
          <w:b w:val="0"/>
          <w:sz w:val="26"/>
          <w:u w:val="non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7"/>
        <w:gridCol w:w="850"/>
        <w:gridCol w:w="1092"/>
        <w:gridCol w:w="1320"/>
        <w:gridCol w:w="2160"/>
        <w:gridCol w:w="4642"/>
      </w:tblGrid>
      <w:tr w:rsidR="00830F2C" w:rsidRPr="00FD4961" w:rsidTr="00831EF5">
        <w:trPr>
          <w:trHeight w:val="681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102" w:line="237" w:lineRule="auto"/>
              <w:ind w:left="107" w:right="133"/>
            </w:pPr>
            <w:r w:rsidRPr="00AC67F4">
              <w:t>17. Czy mamy jasne zasady dotyczące składu komisji rekrutacyjnych?</w:t>
            </w:r>
          </w:p>
        </w:tc>
        <w:tc>
          <w:tcPr>
            <w:tcW w:w="85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100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4C5AD8">
            <w:pPr>
              <w:pStyle w:val="TableParagraph"/>
              <w:spacing w:before="100"/>
              <w:ind w:left="611"/>
            </w:pPr>
            <w:r w:rsidRPr="00FD4961">
              <w:t>x</w:t>
            </w:r>
          </w:p>
        </w:tc>
        <w:tc>
          <w:tcPr>
            <w:tcW w:w="2160" w:type="dxa"/>
          </w:tcPr>
          <w:p w:rsidR="00830F2C" w:rsidRPr="00FD4961" w:rsidRDefault="005A0FA8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całkowicie</w:t>
            </w:r>
          </w:p>
        </w:tc>
        <w:tc>
          <w:tcPr>
            <w:tcW w:w="4642" w:type="dxa"/>
          </w:tcPr>
          <w:p w:rsidR="005A0FA8" w:rsidRDefault="005A0FA8" w:rsidP="002176AB">
            <w:pPr>
              <w:pStyle w:val="TableParagraph"/>
              <w:spacing w:before="97"/>
              <w:rPr>
                <w:rStyle w:val="tlid-translation"/>
              </w:rPr>
            </w:pPr>
            <w:r>
              <w:rPr>
                <w:rStyle w:val="tlid-translation"/>
              </w:rPr>
              <w:t xml:space="preserve">Skład Komisji rekrutacyjnej określa Regulamin przeprowadzania konkursów na stanowiska naukowe w </w:t>
            </w:r>
            <w:proofErr w:type="spellStart"/>
            <w:r>
              <w:rPr>
                <w:rStyle w:val="tlid-translation"/>
              </w:rPr>
              <w:t>IRZiBŻ</w:t>
            </w:r>
            <w:proofErr w:type="spellEnd"/>
            <w:r>
              <w:rPr>
                <w:rStyle w:val="tlid-translation"/>
              </w:rPr>
              <w:t xml:space="preserve"> PAN.</w:t>
            </w:r>
          </w:p>
          <w:p w:rsidR="005A0FA8" w:rsidRDefault="005A0FA8" w:rsidP="005A0FA8">
            <w:pPr>
              <w:widowControl/>
              <w:autoSpaceDE/>
              <w:autoSpaceDN/>
              <w:contextualSpacing/>
              <w:jc w:val="both"/>
            </w:pPr>
            <w:r w:rsidRPr="002E1081">
              <w:t xml:space="preserve">W skład komisji wchodzi od </w:t>
            </w:r>
            <w:r>
              <w:t>sześciu</w:t>
            </w:r>
            <w:r w:rsidRPr="002E1081">
              <w:t xml:space="preserve"> do </w:t>
            </w:r>
            <w:r>
              <w:t>ośmiu</w:t>
            </w:r>
            <w:r w:rsidRPr="002E1081">
              <w:t xml:space="preserve"> osób: </w:t>
            </w:r>
          </w:p>
          <w:p w:rsidR="005A0FA8" w:rsidRDefault="005A0FA8" w:rsidP="005A0FA8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</w:pPr>
            <w:r w:rsidRPr="002E1081">
              <w:t>zastępca dyrektora ds. naukowych,</w:t>
            </w:r>
          </w:p>
          <w:p w:rsidR="005A0FA8" w:rsidRDefault="005A0FA8" w:rsidP="005A0FA8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</w:pPr>
            <w:r w:rsidRPr="002E1081">
              <w:t xml:space="preserve">przewodniczący </w:t>
            </w:r>
            <w:r>
              <w:t>K</w:t>
            </w:r>
            <w:r w:rsidRPr="002E1081">
              <w:t xml:space="preserve">omisji Rady Naukowej Instytutu ds. </w:t>
            </w:r>
            <w:r w:rsidRPr="00DA7F8D">
              <w:t>nauki, rozwoju kadry i</w:t>
            </w:r>
            <w:r>
              <w:t> </w:t>
            </w:r>
            <w:r w:rsidRPr="002E1081">
              <w:t>oceny pracowników</w:t>
            </w:r>
            <w:r>
              <w:t xml:space="preserve"> </w:t>
            </w:r>
            <w:r w:rsidRPr="002E1081">
              <w:t>naukowych,</w:t>
            </w:r>
          </w:p>
          <w:p w:rsidR="005A0FA8" w:rsidRDefault="005A0FA8" w:rsidP="005A0FA8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</w:pPr>
            <w:r w:rsidRPr="002E1081">
              <w:t xml:space="preserve">kierownik </w:t>
            </w:r>
            <w:r>
              <w:t xml:space="preserve">jednostki organizacyjnej </w:t>
            </w:r>
            <w:r w:rsidRPr="002E1081">
              <w:t>wnioskujący o ustanowienie stanowiska</w:t>
            </w:r>
            <w:r>
              <w:t>,</w:t>
            </w:r>
          </w:p>
          <w:p w:rsidR="005A0FA8" w:rsidRDefault="005A0FA8" w:rsidP="005A0FA8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</w:pPr>
            <w:r w:rsidRPr="002E1081">
              <w:t>co najmniej jed</w:t>
            </w:r>
            <w:r>
              <w:t>na osoba z tytułem</w:t>
            </w:r>
            <w:r w:rsidRPr="002E1081">
              <w:t xml:space="preserve"> profesor</w:t>
            </w:r>
            <w:r>
              <w:t>a zatrudniona w Instytucie</w:t>
            </w:r>
            <w:r w:rsidRPr="002E1081">
              <w:t>, specjalista w dziedzinie naukowej</w:t>
            </w:r>
            <w:r>
              <w:t xml:space="preserve"> lub pokrewnej, w której ma być ustanowione stanowisko, </w:t>
            </w:r>
          </w:p>
          <w:p w:rsidR="005A0FA8" w:rsidRDefault="005A0FA8" w:rsidP="005A0FA8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</w:pPr>
            <w:r w:rsidRPr="002E1081">
              <w:t xml:space="preserve">co najmniej </w:t>
            </w:r>
            <w:r>
              <w:t>jedna osoba z tytułem naukowym profesora nie zatrudniona w Instytucie, specjalista w dziedzinie naukowej lub pokrewnej,</w:t>
            </w:r>
            <w:r w:rsidRPr="00C8291A">
              <w:t xml:space="preserve"> </w:t>
            </w:r>
            <w:r>
              <w:t>w której ma być ustanowione stanowisko,</w:t>
            </w:r>
          </w:p>
          <w:p w:rsidR="00830F2C" w:rsidRPr="00FD4961" w:rsidRDefault="005A0FA8" w:rsidP="003A4CE2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</w:pPr>
            <w:r w:rsidRPr="0075615D">
              <w:t>zewnętrzny ekspert  spoza sektora naukowego</w:t>
            </w:r>
            <w:r>
              <w:t>.</w:t>
            </w:r>
          </w:p>
        </w:tc>
      </w:tr>
      <w:tr w:rsidR="00830F2C" w:rsidRPr="00FD4961" w:rsidTr="00831EF5">
        <w:trPr>
          <w:trHeight w:val="369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7" w:line="252" w:lineRule="exact"/>
              <w:ind w:left="107"/>
            </w:pPr>
            <w:r w:rsidRPr="00AC67F4">
              <w:t>18. Czy komisje są dostatecznie wyrównane pod względem płci?</w:t>
            </w:r>
          </w:p>
        </w:tc>
        <w:tc>
          <w:tcPr>
            <w:tcW w:w="850" w:type="dxa"/>
          </w:tcPr>
          <w:p w:rsidR="00830F2C" w:rsidRPr="00AC67F4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 w:line="252" w:lineRule="exact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4C5AD8">
            <w:pPr>
              <w:pStyle w:val="TableParagraph"/>
              <w:spacing w:before="97" w:line="252" w:lineRule="exact"/>
              <w:ind w:left="611"/>
            </w:pPr>
            <w:r w:rsidRPr="00FD4961">
              <w:t>x</w:t>
            </w:r>
          </w:p>
        </w:tc>
        <w:tc>
          <w:tcPr>
            <w:tcW w:w="2160" w:type="dxa"/>
          </w:tcPr>
          <w:p w:rsidR="00830F2C" w:rsidRPr="00FD4961" w:rsidRDefault="0028691D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w znacznym stopniu</w:t>
            </w:r>
          </w:p>
        </w:tc>
        <w:tc>
          <w:tcPr>
            <w:tcW w:w="4642" w:type="dxa"/>
          </w:tcPr>
          <w:p w:rsidR="00830F2C" w:rsidRDefault="00257E15" w:rsidP="0028691D">
            <w:pPr>
              <w:pStyle w:val="TableParagraph"/>
              <w:rPr>
                <w:rStyle w:val="tlid-translation"/>
              </w:rPr>
            </w:pPr>
            <w:r>
              <w:rPr>
                <w:rStyle w:val="tlid-translation"/>
              </w:rPr>
              <w:t xml:space="preserve">Zgodnie z </w:t>
            </w:r>
            <w:r w:rsidR="0028691D">
              <w:rPr>
                <w:rStyle w:val="tlid-translation"/>
              </w:rPr>
              <w:t>Regulamin</w:t>
            </w:r>
            <w:r w:rsidR="002176AB">
              <w:rPr>
                <w:rStyle w:val="tlid-translation"/>
              </w:rPr>
              <w:t>em</w:t>
            </w:r>
            <w:r w:rsidR="0028691D">
              <w:rPr>
                <w:rStyle w:val="tlid-translation"/>
              </w:rPr>
              <w:t xml:space="preserve"> przeprowadzania konkursów na stanowiska naukowe w </w:t>
            </w:r>
            <w:proofErr w:type="spellStart"/>
            <w:r w:rsidR="0028691D">
              <w:rPr>
                <w:rStyle w:val="tlid-translation"/>
              </w:rPr>
              <w:t>IRZiBŻ</w:t>
            </w:r>
            <w:proofErr w:type="spellEnd"/>
            <w:r w:rsidR="0028691D">
              <w:rPr>
                <w:rStyle w:val="tlid-translation"/>
              </w:rPr>
              <w:t xml:space="preserve"> PAN </w:t>
            </w:r>
            <w:r>
              <w:rPr>
                <w:rStyle w:val="tlid-translation"/>
              </w:rPr>
              <w:t>skład ko</w:t>
            </w:r>
            <w:r w:rsidR="0028691D">
              <w:rPr>
                <w:rStyle w:val="tlid-translation"/>
              </w:rPr>
              <w:t>misji rekrutacyjnych</w:t>
            </w:r>
            <w:r>
              <w:rPr>
                <w:rStyle w:val="tlid-translation"/>
              </w:rPr>
              <w:t xml:space="preserve"> powinien być zrównoważony pod względem płci</w:t>
            </w:r>
            <w:r w:rsidR="0028691D">
              <w:rPr>
                <w:rStyle w:val="tlid-translation"/>
              </w:rPr>
              <w:t xml:space="preserve">. </w:t>
            </w:r>
          </w:p>
          <w:p w:rsidR="00E918A0" w:rsidRPr="00E918A0" w:rsidRDefault="00E918A0" w:rsidP="00E918A0">
            <w:pPr>
              <w:pStyle w:val="TableParagraph"/>
            </w:pPr>
            <w:r>
              <w:rPr>
                <w:rStyle w:val="tlid-translation"/>
              </w:rPr>
              <w:t xml:space="preserve">Brak równowagi płci zdarza się jeśli  wąski zakres badawczy wymaga powołania w skład komisji ekspertów z pominięciem </w:t>
            </w:r>
            <w:r w:rsidR="007674EB">
              <w:rPr>
                <w:rStyle w:val="tlid-translation"/>
              </w:rPr>
              <w:t>kryterium płci.</w:t>
            </w:r>
          </w:p>
        </w:tc>
      </w:tr>
      <w:tr w:rsidR="00830F2C" w:rsidRPr="00FD4961" w:rsidTr="00831EF5">
        <w:trPr>
          <w:trHeight w:val="904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tabs>
                <w:tab w:val="left" w:pos="590"/>
                <w:tab w:val="left" w:pos="1043"/>
                <w:tab w:val="left" w:pos="1514"/>
                <w:tab w:val="left" w:pos="2147"/>
                <w:tab w:val="left" w:pos="2783"/>
                <w:tab w:val="left" w:pos="3894"/>
                <w:tab w:val="left" w:pos="4355"/>
              </w:tabs>
              <w:spacing w:before="99" w:line="237" w:lineRule="auto"/>
              <w:ind w:left="107" w:right="97"/>
            </w:pPr>
            <w:r w:rsidRPr="00AC67F4">
              <w:t>19.</w:t>
            </w:r>
            <w:r w:rsidRPr="00AC67F4">
              <w:tab/>
              <w:t>Czy mamy jasne wytyczne dla komisji rekrutacyjnych pomagające ocenić „osiągnięcia” w sposób</w:t>
            </w:r>
          </w:p>
          <w:p w:rsidR="00830F2C" w:rsidRPr="00FD4961" w:rsidRDefault="004C5AD8">
            <w:pPr>
              <w:pStyle w:val="TableParagraph"/>
              <w:spacing w:before="2" w:line="252" w:lineRule="exact"/>
              <w:ind w:left="107"/>
            </w:pPr>
            <w:r w:rsidRPr="00AC67F4">
              <w:t>prowadzący do wyboru najlepszego kandydata?</w:t>
            </w:r>
          </w:p>
        </w:tc>
        <w:tc>
          <w:tcPr>
            <w:tcW w:w="85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830F2C" w:rsidRPr="00FD4961" w:rsidRDefault="004C5AD8">
            <w:pPr>
              <w:pStyle w:val="TableParagraph"/>
              <w:spacing w:before="97"/>
              <w:ind w:left="611"/>
            </w:pPr>
            <w:r w:rsidRPr="00FD4961">
              <w:t>x</w:t>
            </w:r>
          </w:p>
        </w:tc>
        <w:tc>
          <w:tcPr>
            <w:tcW w:w="2160" w:type="dxa"/>
          </w:tcPr>
          <w:p w:rsidR="00830F2C" w:rsidRPr="00FD4961" w:rsidRDefault="0028691D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całkowicie</w:t>
            </w:r>
          </w:p>
        </w:tc>
        <w:tc>
          <w:tcPr>
            <w:tcW w:w="4642" w:type="dxa"/>
          </w:tcPr>
          <w:p w:rsidR="00830F2C" w:rsidRPr="007674EB" w:rsidRDefault="007674EB" w:rsidP="007674EB">
            <w:pPr>
              <w:pStyle w:val="TableParagraph"/>
              <w:spacing w:before="97"/>
              <w:ind w:left="108"/>
              <w:rPr>
                <w:rFonts w:asciiTheme="minorHAnsi" w:hAnsiTheme="minorHAnsi" w:cstheme="minorHAnsi"/>
              </w:rPr>
            </w:pPr>
            <w:r w:rsidRPr="007674EB">
              <w:rPr>
                <w:rStyle w:val="tlid-translation"/>
                <w:rFonts w:asciiTheme="minorHAnsi" w:hAnsiTheme="minorHAnsi" w:cstheme="minorHAnsi"/>
              </w:rPr>
              <w:t xml:space="preserve">Komisja rekrutacyjna posługuje się wzorem karty oceny. </w:t>
            </w:r>
            <w:r w:rsidRPr="007674EB">
              <w:rPr>
                <w:rFonts w:asciiTheme="minorHAnsi" w:hAnsiTheme="minorHAnsi" w:cstheme="minorHAnsi"/>
              </w:rPr>
              <w:t xml:space="preserve">Karta oceny podzielona jest na 5 bloków </w:t>
            </w:r>
            <w:r>
              <w:rPr>
                <w:rFonts w:asciiTheme="minorHAnsi" w:hAnsiTheme="minorHAnsi" w:cstheme="minorHAnsi"/>
              </w:rPr>
              <w:t xml:space="preserve">tematycznych </w:t>
            </w:r>
            <w:r w:rsidRPr="007674EB">
              <w:rPr>
                <w:rFonts w:asciiTheme="minorHAnsi" w:hAnsiTheme="minorHAnsi" w:cstheme="minorHAnsi"/>
              </w:rPr>
              <w:t xml:space="preserve">pozwalających na dokonanie </w:t>
            </w:r>
            <w:r>
              <w:rPr>
                <w:rFonts w:asciiTheme="minorHAnsi" w:hAnsiTheme="minorHAnsi" w:cstheme="minorHAnsi"/>
              </w:rPr>
              <w:t xml:space="preserve">punktowej </w:t>
            </w:r>
            <w:r w:rsidRPr="007674EB">
              <w:rPr>
                <w:rFonts w:asciiTheme="minorHAnsi" w:hAnsiTheme="minorHAnsi" w:cstheme="minorHAnsi"/>
              </w:rPr>
              <w:t>oceny dorobku naukowego i kwalifikacji kandydata.</w:t>
            </w:r>
          </w:p>
        </w:tc>
      </w:tr>
      <w:tr w:rsidR="00830F2C" w:rsidRPr="00FD4961" w:rsidTr="00831EF5">
        <w:trPr>
          <w:trHeight w:val="369"/>
        </w:trPr>
        <w:tc>
          <w:tcPr>
            <w:tcW w:w="15911" w:type="dxa"/>
            <w:gridSpan w:val="6"/>
            <w:tcBorders>
              <w:left w:val="nil"/>
              <w:right w:val="nil"/>
            </w:tcBorders>
          </w:tcPr>
          <w:p w:rsidR="00830F2C" w:rsidRDefault="00830F2C">
            <w:pPr>
              <w:pStyle w:val="TableParagraph"/>
              <w:rPr>
                <w:rFonts w:ascii="Times New Roman"/>
              </w:rPr>
            </w:pPr>
          </w:p>
          <w:p w:rsidR="0028691D" w:rsidRDefault="0028691D">
            <w:pPr>
              <w:pStyle w:val="TableParagraph"/>
              <w:rPr>
                <w:rFonts w:ascii="Times New Roman"/>
              </w:rPr>
            </w:pPr>
          </w:p>
          <w:p w:rsidR="0028691D" w:rsidRDefault="0028691D">
            <w:pPr>
              <w:pStyle w:val="TableParagraph"/>
              <w:rPr>
                <w:rFonts w:ascii="Times New Roman"/>
              </w:rPr>
            </w:pPr>
          </w:p>
          <w:p w:rsidR="0028691D" w:rsidRPr="00FD4961" w:rsidRDefault="0028691D">
            <w:pPr>
              <w:pStyle w:val="TableParagraph"/>
              <w:rPr>
                <w:rFonts w:ascii="Times New Roman"/>
              </w:rPr>
            </w:pPr>
          </w:p>
        </w:tc>
      </w:tr>
      <w:tr w:rsidR="00830F2C" w:rsidRPr="00FD4961" w:rsidTr="00831EF5">
        <w:trPr>
          <w:trHeight w:val="393"/>
        </w:trPr>
        <w:tc>
          <w:tcPr>
            <w:tcW w:w="5847" w:type="dxa"/>
          </w:tcPr>
          <w:p w:rsidR="00830F2C" w:rsidRPr="00FD4961" w:rsidRDefault="004C5AD8">
            <w:pPr>
              <w:pStyle w:val="TableParagraph"/>
              <w:spacing w:before="98" w:line="276" w:lineRule="exact"/>
              <w:ind w:left="107"/>
              <w:rPr>
                <w:b/>
                <w:sz w:val="24"/>
              </w:rPr>
            </w:pPr>
            <w:r w:rsidRPr="00FD4961">
              <w:rPr>
                <w:b/>
                <w:sz w:val="24"/>
              </w:rPr>
              <w:t>Etap zatrudnienia</w:t>
            </w:r>
          </w:p>
        </w:tc>
        <w:tc>
          <w:tcPr>
            <w:tcW w:w="850" w:type="dxa"/>
            <w:shd w:val="clear" w:color="auto" w:fill="808080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  <w:shd w:val="clear" w:color="auto" w:fill="808080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shd w:val="clear" w:color="auto" w:fill="808080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808080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2" w:type="dxa"/>
            <w:shd w:val="clear" w:color="auto" w:fill="808080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</w:tr>
      <w:tr w:rsidR="00830F2C" w:rsidRPr="00FD4961" w:rsidTr="00831EF5">
        <w:trPr>
          <w:trHeight w:val="635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6" w:line="270" w:lineRule="atLeast"/>
              <w:ind w:left="107" w:right="133"/>
            </w:pPr>
            <w:r w:rsidRPr="00AC67F4">
              <w:t>20. Czy informujemy wszystkich aplikantów na końcu procesu selekcji?</w:t>
            </w:r>
          </w:p>
        </w:tc>
        <w:tc>
          <w:tcPr>
            <w:tcW w:w="85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830F2C" w:rsidRPr="00FD4961" w:rsidRDefault="007674EB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całkowicie</w:t>
            </w:r>
          </w:p>
        </w:tc>
        <w:tc>
          <w:tcPr>
            <w:tcW w:w="4642" w:type="dxa"/>
          </w:tcPr>
          <w:p w:rsidR="00830F2C" w:rsidRPr="00FD4961" w:rsidRDefault="00257E15" w:rsidP="00D15E4E">
            <w:pPr>
              <w:pStyle w:val="TableParagraph"/>
              <w:rPr>
                <w:rFonts w:ascii="Times New Roman"/>
              </w:rPr>
            </w:pPr>
            <w:r>
              <w:rPr>
                <w:rStyle w:val="tlid-translation"/>
              </w:rPr>
              <w:t xml:space="preserve">Wyniki konkursów są publikowane na stronie internetowej </w:t>
            </w:r>
            <w:r w:rsidR="007674EB">
              <w:rPr>
                <w:rStyle w:val="tlid-translation"/>
              </w:rPr>
              <w:t>Instytutu.</w:t>
            </w:r>
            <w:r>
              <w:rPr>
                <w:rStyle w:val="tlid-translation"/>
              </w:rPr>
              <w:t xml:space="preserve"> </w:t>
            </w:r>
          </w:p>
        </w:tc>
      </w:tr>
      <w:tr w:rsidR="00830F2C" w:rsidRPr="00FD4961" w:rsidTr="00831EF5">
        <w:trPr>
          <w:trHeight w:val="594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9"/>
              <w:ind w:left="107"/>
            </w:pPr>
            <w:r w:rsidRPr="00AC67F4">
              <w:t>21. Czy przekazujemy odpowiednią informację zwrotną wszystkim kandydatom?</w:t>
            </w:r>
          </w:p>
        </w:tc>
        <w:tc>
          <w:tcPr>
            <w:tcW w:w="85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9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830F2C" w:rsidRPr="00FD4961" w:rsidRDefault="00D15E4E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w znacznym stopniu</w:t>
            </w:r>
          </w:p>
        </w:tc>
        <w:tc>
          <w:tcPr>
            <w:tcW w:w="4642" w:type="dxa"/>
          </w:tcPr>
          <w:p w:rsidR="00830F2C" w:rsidRPr="00FD4961" w:rsidRDefault="00D15E4E" w:rsidP="00D15E4E">
            <w:pPr>
              <w:pStyle w:val="TableParagraph"/>
              <w:rPr>
                <w:rFonts w:ascii="Times New Roman"/>
              </w:rPr>
            </w:pPr>
            <w:r>
              <w:rPr>
                <w:rStyle w:val="tlid-translation"/>
              </w:rPr>
              <w:t>Kandydaci aplikujący na stanowisko otrzymują drogą elektroniczną informację o słabych i mocnych stronach swojej aplikacji.</w:t>
            </w:r>
          </w:p>
        </w:tc>
      </w:tr>
      <w:tr w:rsidR="00830F2C" w:rsidRPr="00FD4961" w:rsidTr="00831EF5">
        <w:trPr>
          <w:trHeight w:val="635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4" w:line="266" w:lineRule="exact"/>
              <w:ind w:left="107" w:right="133"/>
            </w:pPr>
            <w:r w:rsidRPr="00AC67F4">
              <w:t>22. Czy mamy wdrożony odpowiedni mechanizm składania skarg?</w:t>
            </w:r>
          </w:p>
        </w:tc>
        <w:tc>
          <w:tcPr>
            <w:tcW w:w="85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830F2C" w:rsidRPr="00FD4961" w:rsidRDefault="004C5AD8">
            <w:pPr>
              <w:pStyle w:val="TableParagraph"/>
              <w:spacing w:before="97"/>
              <w:ind w:left="671"/>
            </w:pPr>
            <w:r w:rsidRPr="00FD4961">
              <w:t>x</w:t>
            </w:r>
          </w:p>
        </w:tc>
        <w:tc>
          <w:tcPr>
            <w:tcW w:w="132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830F2C" w:rsidRPr="00FD4961" w:rsidRDefault="009E6720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w znacznym stopniu</w:t>
            </w:r>
          </w:p>
        </w:tc>
        <w:tc>
          <w:tcPr>
            <w:tcW w:w="4642" w:type="dxa"/>
          </w:tcPr>
          <w:p w:rsidR="00830F2C" w:rsidRPr="00FD4961" w:rsidRDefault="003A4CE2">
            <w:pPr>
              <w:pStyle w:val="TableParagraph"/>
              <w:spacing w:before="97"/>
              <w:ind w:left="108"/>
            </w:pPr>
            <w:r>
              <w:rPr>
                <w:rStyle w:val="tlid-translation"/>
              </w:rPr>
              <w:t>Trwają prace nad przygotowaniem i wprowadzeniem procedur składania skarg</w:t>
            </w:r>
            <w:r w:rsidR="002176AB">
              <w:rPr>
                <w:rStyle w:val="tlid-translation"/>
              </w:rPr>
              <w:t xml:space="preserve"> do Regulaminu przeprowadzania konkursów na stanowiska naukowe w </w:t>
            </w:r>
            <w:proofErr w:type="spellStart"/>
            <w:r w:rsidR="002176AB">
              <w:rPr>
                <w:rStyle w:val="tlid-translation"/>
              </w:rPr>
              <w:t>IRZiBŻ</w:t>
            </w:r>
            <w:proofErr w:type="spellEnd"/>
            <w:r w:rsidR="002176AB">
              <w:rPr>
                <w:rStyle w:val="tlid-translation"/>
              </w:rPr>
              <w:t xml:space="preserve"> PAN.</w:t>
            </w:r>
          </w:p>
        </w:tc>
      </w:tr>
      <w:tr w:rsidR="00830F2C" w:rsidRPr="00FD4961" w:rsidTr="00831EF5">
        <w:trPr>
          <w:trHeight w:val="369"/>
        </w:trPr>
        <w:tc>
          <w:tcPr>
            <w:tcW w:w="15911" w:type="dxa"/>
            <w:gridSpan w:val="6"/>
            <w:tcBorders>
              <w:left w:val="nil"/>
              <w:right w:val="nil"/>
            </w:tcBorders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</w:tr>
      <w:tr w:rsidR="00830F2C" w:rsidRPr="00FD4961" w:rsidTr="003A4CE2">
        <w:trPr>
          <w:trHeight w:val="393"/>
        </w:trPr>
        <w:tc>
          <w:tcPr>
            <w:tcW w:w="5847" w:type="dxa"/>
          </w:tcPr>
          <w:p w:rsidR="00830F2C" w:rsidRPr="00FD4961" w:rsidRDefault="004C5AD8">
            <w:pPr>
              <w:pStyle w:val="TableParagraph"/>
              <w:spacing w:before="97" w:line="276" w:lineRule="exact"/>
              <w:ind w:left="107"/>
              <w:rPr>
                <w:b/>
                <w:sz w:val="24"/>
              </w:rPr>
            </w:pPr>
            <w:r w:rsidRPr="00FD4961">
              <w:rPr>
                <w:b/>
                <w:sz w:val="24"/>
              </w:rPr>
              <w:t>Ogólna ocena</w:t>
            </w:r>
          </w:p>
        </w:tc>
        <w:tc>
          <w:tcPr>
            <w:tcW w:w="850" w:type="dxa"/>
            <w:shd w:val="clear" w:color="auto" w:fill="808080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  <w:shd w:val="clear" w:color="auto" w:fill="808080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  <w:shd w:val="clear" w:color="auto" w:fill="808080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808080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42" w:type="dxa"/>
            <w:shd w:val="clear" w:color="auto" w:fill="808080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</w:tr>
      <w:tr w:rsidR="00830F2C" w:rsidRPr="00FD4961" w:rsidTr="003A4CE2">
        <w:trPr>
          <w:trHeight w:val="637"/>
        </w:trPr>
        <w:tc>
          <w:tcPr>
            <w:tcW w:w="5847" w:type="dxa"/>
          </w:tcPr>
          <w:p w:rsidR="00830F2C" w:rsidRPr="00AC67F4" w:rsidRDefault="004C5AD8">
            <w:pPr>
              <w:pStyle w:val="TableParagraph"/>
              <w:spacing w:before="96" w:line="270" w:lineRule="atLeast"/>
              <w:ind w:left="107" w:right="100"/>
            </w:pPr>
            <w:r w:rsidRPr="00AC67F4">
              <w:t xml:space="preserve">23. Czy mamy wdrożony system oceniający, czy </w:t>
            </w:r>
            <w:proofErr w:type="spellStart"/>
            <w:r w:rsidR="00053C34" w:rsidRPr="00AC67F4">
              <w:t>OTM-R</w:t>
            </w:r>
            <w:proofErr w:type="spellEnd"/>
            <w:r w:rsidR="00053C34" w:rsidRPr="00AC67F4">
              <w:t xml:space="preserve"> </w:t>
            </w:r>
            <w:r w:rsidRPr="00AC67F4">
              <w:t>realizuje swoje cele?</w:t>
            </w:r>
          </w:p>
        </w:tc>
        <w:tc>
          <w:tcPr>
            <w:tcW w:w="85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:rsidR="00830F2C" w:rsidRPr="00FD4961" w:rsidRDefault="00830F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830F2C" w:rsidRPr="00FD4961" w:rsidRDefault="006B2FC0">
            <w:pPr>
              <w:pStyle w:val="TableParagraph"/>
              <w:rPr>
                <w:rFonts w:ascii="Times New Roman"/>
              </w:rPr>
            </w:pPr>
            <w:r w:rsidRPr="00FD4961">
              <w:rPr>
                <w:b/>
              </w:rPr>
              <w:t>Tak, częściowo</w:t>
            </w:r>
          </w:p>
        </w:tc>
        <w:tc>
          <w:tcPr>
            <w:tcW w:w="4642" w:type="dxa"/>
          </w:tcPr>
          <w:p w:rsidR="00830F2C" w:rsidRPr="00FD4961" w:rsidRDefault="006B2FC0" w:rsidP="002176AB">
            <w:pPr>
              <w:pStyle w:val="TableParagraph"/>
              <w:rPr>
                <w:rFonts w:ascii="Times New Roman"/>
              </w:rPr>
            </w:pPr>
            <w:r>
              <w:rPr>
                <w:rStyle w:val="tlid-translation"/>
              </w:rPr>
              <w:t>Działu Kadr</w:t>
            </w:r>
            <w:r w:rsidR="00257E15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nadzoruje</w:t>
            </w:r>
            <w:r w:rsidR="00257E15">
              <w:rPr>
                <w:rStyle w:val="tlid-translation"/>
              </w:rPr>
              <w:t xml:space="preserve"> realizacj</w:t>
            </w:r>
            <w:r w:rsidR="002176AB">
              <w:rPr>
                <w:rStyle w:val="tlid-translation"/>
              </w:rPr>
              <w:t xml:space="preserve">ę </w:t>
            </w:r>
            <w:r w:rsidR="00257E15">
              <w:rPr>
                <w:rStyle w:val="tlid-translation"/>
              </w:rPr>
              <w:t xml:space="preserve">polityki </w:t>
            </w:r>
            <w:proofErr w:type="spellStart"/>
            <w:r w:rsidR="00257E15">
              <w:rPr>
                <w:rStyle w:val="tlid-translation"/>
              </w:rPr>
              <w:t>OTM-R</w:t>
            </w:r>
            <w:proofErr w:type="spellEnd"/>
            <w:r w:rsidR="00257E15">
              <w:rPr>
                <w:rStyle w:val="tlid-translation"/>
              </w:rPr>
              <w:t xml:space="preserve">. Proces </w:t>
            </w:r>
            <w:proofErr w:type="spellStart"/>
            <w:r w:rsidR="00257E15">
              <w:rPr>
                <w:rStyle w:val="tlid-translation"/>
              </w:rPr>
              <w:t>OTM-R</w:t>
            </w:r>
            <w:proofErr w:type="spellEnd"/>
            <w:r w:rsidR="00257E15">
              <w:rPr>
                <w:rStyle w:val="tlid-translation"/>
              </w:rPr>
              <w:t xml:space="preserve"> jest</w:t>
            </w:r>
            <w:r>
              <w:rPr>
                <w:rStyle w:val="tlid-translation"/>
              </w:rPr>
              <w:t xml:space="preserve"> </w:t>
            </w:r>
            <w:r w:rsidR="00257E15">
              <w:rPr>
                <w:rStyle w:val="tlid-translation"/>
              </w:rPr>
              <w:t>ciągle ulepszany</w:t>
            </w:r>
            <w:r>
              <w:rPr>
                <w:rStyle w:val="tlid-translation"/>
              </w:rPr>
              <w:t>.</w:t>
            </w:r>
          </w:p>
        </w:tc>
      </w:tr>
    </w:tbl>
    <w:p w:rsidR="004C5AD8" w:rsidRPr="00FD4961" w:rsidRDefault="004C5AD8"/>
    <w:sectPr w:rsidR="004C5AD8" w:rsidRPr="00FD4961" w:rsidSect="000914BD">
      <w:pgSz w:w="16840" w:h="11910" w:orient="landscape"/>
      <w:pgMar w:top="1100" w:right="380" w:bottom="840" w:left="380" w:header="0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47" w:rsidRDefault="00DF5847">
      <w:r>
        <w:separator/>
      </w:r>
    </w:p>
  </w:endnote>
  <w:endnote w:type="continuationSeparator" w:id="0">
    <w:p w:rsidR="00DF5847" w:rsidRDefault="00DF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2C" w:rsidRDefault="009C47FE">
    <w:pPr>
      <w:pStyle w:val="Tekstpodstawowy"/>
      <w:spacing w:line="14" w:lineRule="auto"/>
      <w:rPr>
        <w:b w:val="0"/>
        <w:sz w:val="20"/>
        <w:u w:val="none"/>
      </w:rPr>
    </w:pPr>
    <w:r w:rsidRPr="009C47FE">
      <w:pict>
        <v:shapetype id="_x0000_t202" coordsize="21600,21600" o:spt="202" path="m,l,21600r21600,l21600,xe">
          <v:stroke joinstyle="miter"/>
          <v:path gradientshapeok="t" o:connecttype="rect"/>
        </v:shapetype>
        <v:shape id="973" o:spid="_x0000_s2049" type="#_x0000_t202" style="position:absolute;margin-left:416.15pt;margin-top:547.6pt;width:9.6pt;height:13.05pt;z-index:-251658752;mso-position-horizontal-relative:page;mso-position-vertical-relative:page" filled="f" stroked="f">
          <v:textbox inset="0,0,0,0">
            <w:txbxContent>
              <w:p w:rsidR="00830F2C" w:rsidRDefault="009C47FE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4C5AD8">
                  <w:instrText xml:space="preserve"> PAGE </w:instrText>
                </w:r>
                <w:r>
                  <w:fldChar w:fldCharType="separate"/>
                </w:r>
                <w:r w:rsidR="002176AB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47" w:rsidRDefault="00DF5847">
      <w:r>
        <w:separator/>
      </w:r>
    </w:p>
  </w:footnote>
  <w:footnote w:type="continuationSeparator" w:id="0">
    <w:p w:rsidR="00DF5847" w:rsidRDefault="00DF5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1FF"/>
    <w:multiLevelType w:val="hybridMultilevel"/>
    <w:tmpl w:val="351E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712D"/>
    <w:multiLevelType w:val="hybridMultilevel"/>
    <w:tmpl w:val="1B0CE7BE"/>
    <w:lvl w:ilvl="0" w:tplc="A20AE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A2B5D"/>
    <w:multiLevelType w:val="hybridMultilevel"/>
    <w:tmpl w:val="FC0A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81092"/>
    <w:multiLevelType w:val="hybridMultilevel"/>
    <w:tmpl w:val="FC0A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804"/>
    <w:multiLevelType w:val="hybridMultilevel"/>
    <w:tmpl w:val="6BA29AA8"/>
    <w:lvl w:ilvl="0" w:tplc="8AE4E7D0">
      <w:numFmt w:val="bullet"/>
      <w:lvlText w:val="-"/>
      <w:lvlJc w:val="left"/>
      <w:pPr>
        <w:ind w:left="240" w:hanging="132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4782E08">
      <w:numFmt w:val="bullet"/>
      <w:lvlText w:val="•"/>
      <w:lvlJc w:val="left"/>
      <w:pPr>
        <w:ind w:left="673" w:hanging="132"/>
      </w:pPr>
      <w:rPr>
        <w:rFonts w:hint="default"/>
        <w:lang w:val="el-GR" w:eastAsia="el-GR" w:bidi="el-GR"/>
      </w:rPr>
    </w:lvl>
    <w:lvl w:ilvl="2" w:tplc="664E21D0">
      <w:numFmt w:val="bullet"/>
      <w:lvlText w:val="•"/>
      <w:lvlJc w:val="left"/>
      <w:pPr>
        <w:ind w:left="1107" w:hanging="132"/>
      </w:pPr>
      <w:rPr>
        <w:rFonts w:hint="default"/>
        <w:lang w:val="el-GR" w:eastAsia="el-GR" w:bidi="el-GR"/>
      </w:rPr>
    </w:lvl>
    <w:lvl w:ilvl="3" w:tplc="ADF898EE">
      <w:numFmt w:val="bullet"/>
      <w:lvlText w:val="•"/>
      <w:lvlJc w:val="left"/>
      <w:pPr>
        <w:ind w:left="1540" w:hanging="132"/>
      </w:pPr>
      <w:rPr>
        <w:rFonts w:hint="default"/>
        <w:lang w:val="el-GR" w:eastAsia="el-GR" w:bidi="el-GR"/>
      </w:rPr>
    </w:lvl>
    <w:lvl w:ilvl="4" w:tplc="8C123168">
      <w:numFmt w:val="bullet"/>
      <w:lvlText w:val="•"/>
      <w:lvlJc w:val="left"/>
      <w:pPr>
        <w:ind w:left="1974" w:hanging="132"/>
      </w:pPr>
      <w:rPr>
        <w:rFonts w:hint="default"/>
        <w:lang w:val="el-GR" w:eastAsia="el-GR" w:bidi="el-GR"/>
      </w:rPr>
    </w:lvl>
    <w:lvl w:ilvl="5" w:tplc="CE9A9A9A">
      <w:numFmt w:val="bullet"/>
      <w:lvlText w:val="•"/>
      <w:lvlJc w:val="left"/>
      <w:pPr>
        <w:ind w:left="2407" w:hanging="132"/>
      </w:pPr>
      <w:rPr>
        <w:rFonts w:hint="default"/>
        <w:lang w:val="el-GR" w:eastAsia="el-GR" w:bidi="el-GR"/>
      </w:rPr>
    </w:lvl>
    <w:lvl w:ilvl="6" w:tplc="8B9A3346">
      <w:numFmt w:val="bullet"/>
      <w:lvlText w:val="•"/>
      <w:lvlJc w:val="left"/>
      <w:pPr>
        <w:ind w:left="2841" w:hanging="132"/>
      </w:pPr>
      <w:rPr>
        <w:rFonts w:hint="default"/>
        <w:lang w:val="el-GR" w:eastAsia="el-GR" w:bidi="el-GR"/>
      </w:rPr>
    </w:lvl>
    <w:lvl w:ilvl="7" w:tplc="509E2DA0">
      <w:numFmt w:val="bullet"/>
      <w:lvlText w:val="•"/>
      <w:lvlJc w:val="left"/>
      <w:pPr>
        <w:ind w:left="3274" w:hanging="132"/>
      </w:pPr>
      <w:rPr>
        <w:rFonts w:hint="default"/>
        <w:lang w:val="el-GR" w:eastAsia="el-GR" w:bidi="el-GR"/>
      </w:rPr>
    </w:lvl>
    <w:lvl w:ilvl="8" w:tplc="B2C48DCC">
      <w:numFmt w:val="bullet"/>
      <w:lvlText w:val="•"/>
      <w:lvlJc w:val="left"/>
      <w:pPr>
        <w:ind w:left="3708" w:hanging="132"/>
      </w:pPr>
      <w:rPr>
        <w:rFonts w:hint="default"/>
        <w:lang w:val="el-GR" w:eastAsia="el-GR" w:bidi="el-GR"/>
      </w:rPr>
    </w:lvl>
  </w:abstractNum>
  <w:abstractNum w:abstractNumId="5">
    <w:nsid w:val="2AFD7257"/>
    <w:multiLevelType w:val="hybridMultilevel"/>
    <w:tmpl w:val="A290D922"/>
    <w:lvl w:ilvl="0" w:tplc="A7D66F00">
      <w:numFmt w:val="bullet"/>
      <w:lvlText w:val="-"/>
      <w:lvlJc w:val="left"/>
      <w:pPr>
        <w:ind w:left="269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BF2EA70">
      <w:numFmt w:val="bullet"/>
      <w:lvlText w:val="•"/>
      <w:lvlJc w:val="left"/>
      <w:pPr>
        <w:ind w:left="691" w:hanging="161"/>
      </w:pPr>
      <w:rPr>
        <w:rFonts w:hint="default"/>
        <w:lang w:val="el-GR" w:eastAsia="el-GR" w:bidi="el-GR"/>
      </w:rPr>
    </w:lvl>
    <w:lvl w:ilvl="2" w:tplc="5E288F82">
      <w:numFmt w:val="bullet"/>
      <w:lvlText w:val="•"/>
      <w:lvlJc w:val="left"/>
      <w:pPr>
        <w:ind w:left="1123" w:hanging="161"/>
      </w:pPr>
      <w:rPr>
        <w:rFonts w:hint="default"/>
        <w:lang w:val="el-GR" w:eastAsia="el-GR" w:bidi="el-GR"/>
      </w:rPr>
    </w:lvl>
    <w:lvl w:ilvl="3" w:tplc="FEB87226">
      <w:numFmt w:val="bullet"/>
      <w:lvlText w:val="•"/>
      <w:lvlJc w:val="left"/>
      <w:pPr>
        <w:ind w:left="1554" w:hanging="161"/>
      </w:pPr>
      <w:rPr>
        <w:rFonts w:hint="default"/>
        <w:lang w:val="el-GR" w:eastAsia="el-GR" w:bidi="el-GR"/>
      </w:rPr>
    </w:lvl>
    <w:lvl w:ilvl="4" w:tplc="7786D880">
      <w:numFmt w:val="bullet"/>
      <w:lvlText w:val="•"/>
      <w:lvlJc w:val="left"/>
      <w:pPr>
        <w:ind w:left="1986" w:hanging="161"/>
      </w:pPr>
      <w:rPr>
        <w:rFonts w:hint="default"/>
        <w:lang w:val="el-GR" w:eastAsia="el-GR" w:bidi="el-GR"/>
      </w:rPr>
    </w:lvl>
    <w:lvl w:ilvl="5" w:tplc="5628CC00">
      <w:numFmt w:val="bullet"/>
      <w:lvlText w:val="•"/>
      <w:lvlJc w:val="left"/>
      <w:pPr>
        <w:ind w:left="2417" w:hanging="161"/>
      </w:pPr>
      <w:rPr>
        <w:rFonts w:hint="default"/>
        <w:lang w:val="el-GR" w:eastAsia="el-GR" w:bidi="el-GR"/>
      </w:rPr>
    </w:lvl>
    <w:lvl w:ilvl="6" w:tplc="A5D8C45C">
      <w:numFmt w:val="bullet"/>
      <w:lvlText w:val="•"/>
      <w:lvlJc w:val="left"/>
      <w:pPr>
        <w:ind w:left="2849" w:hanging="161"/>
      </w:pPr>
      <w:rPr>
        <w:rFonts w:hint="default"/>
        <w:lang w:val="el-GR" w:eastAsia="el-GR" w:bidi="el-GR"/>
      </w:rPr>
    </w:lvl>
    <w:lvl w:ilvl="7" w:tplc="B0AEAA50">
      <w:numFmt w:val="bullet"/>
      <w:lvlText w:val="•"/>
      <w:lvlJc w:val="left"/>
      <w:pPr>
        <w:ind w:left="3280" w:hanging="161"/>
      </w:pPr>
      <w:rPr>
        <w:rFonts w:hint="default"/>
        <w:lang w:val="el-GR" w:eastAsia="el-GR" w:bidi="el-GR"/>
      </w:rPr>
    </w:lvl>
    <w:lvl w:ilvl="8" w:tplc="2EC4866E">
      <w:numFmt w:val="bullet"/>
      <w:lvlText w:val="•"/>
      <w:lvlJc w:val="left"/>
      <w:pPr>
        <w:ind w:left="3712" w:hanging="161"/>
      </w:pPr>
      <w:rPr>
        <w:rFonts w:hint="default"/>
        <w:lang w:val="el-GR" w:eastAsia="el-GR" w:bidi="el-GR"/>
      </w:rPr>
    </w:lvl>
  </w:abstractNum>
  <w:abstractNum w:abstractNumId="6">
    <w:nsid w:val="6CA71183"/>
    <w:multiLevelType w:val="hybridMultilevel"/>
    <w:tmpl w:val="DDF471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A35037"/>
    <w:multiLevelType w:val="hybridMultilevel"/>
    <w:tmpl w:val="24C4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30F2C"/>
    <w:rsid w:val="00001B00"/>
    <w:rsid w:val="000072CB"/>
    <w:rsid w:val="0004616C"/>
    <w:rsid w:val="00053C34"/>
    <w:rsid w:val="000914BD"/>
    <w:rsid w:val="000B68B6"/>
    <w:rsid w:val="000D69AD"/>
    <w:rsid w:val="000E4494"/>
    <w:rsid w:val="00104C40"/>
    <w:rsid w:val="00122B53"/>
    <w:rsid w:val="0016183F"/>
    <w:rsid w:val="001A6DD7"/>
    <w:rsid w:val="001B2688"/>
    <w:rsid w:val="001E5C41"/>
    <w:rsid w:val="002176AB"/>
    <w:rsid w:val="002427D5"/>
    <w:rsid w:val="00257E15"/>
    <w:rsid w:val="002859E0"/>
    <w:rsid w:val="0028691D"/>
    <w:rsid w:val="00342484"/>
    <w:rsid w:val="00380488"/>
    <w:rsid w:val="003A4CE2"/>
    <w:rsid w:val="003F2F38"/>
    <w:rsid w:val="004C5AD8"/>
    <w:rsid w:val="0054715F"/>
    <w:rsid w:val="005A0FA8"/>
    <w:rsid w:val="005A0FE8"/>
    <w:rsid w:val="005F7568"/>
    <w:rsid w:val="0063027C"/>
    <w:rsid w:val="006832DF"/>
    <w:rsid w:val="006B2FC0"/>
    <w:rsid w:val="007674EB"/>
    <w:rsid w:val="00792463"/>
    <w:rsid w:val="00797E3E"/>
    <w:rsid w:val="007D3CA1"/>
    <w:rsid w:val="007D6D21"/>
    <w:rsid w:val="00830F2C"/>
    <w:rsid w:val="00831EF5"/>
    <w:rsid w:val="00846AC4"/>
    <w:rsid w:val="00883429"/>
    <w:rsid w:val="008C3000"/>
    <w:rsid w:val="008E4C42"/>
    <w:rsid w:val="00960913"/>
    <w:rsid w:val="009A7D5C"/>
    <w:rsid w:val="009B03F1"/>
    <w:rsid w:val="009C47FE"/>
    <w:rsid w:val="009E6720"/>
    <w:rsid w:val="00A825D6"/>
    <w:rsid w:val="00A9419F"/>
    <w:rsid w:val="00AC67F4"/>
    <w:rsid w:val="00B03D30"/>
    <w:rsid w:val="00B11B1C"/>
    <w:rsid w:val="00B35CEB"/>
    <w:rsid w:val="00B42CBA"/>
    <w:rsid w:val="00B544FE"/>
    <w:rsid w:val="00B56D2D"/>
    <w:rsid w:val="00B72B9F"/>
    <w:rsid w:val="00BA6A3F"/>
    <w:rsid w:val="00BB3DC7"/>
    <w:rsid w:val="00BE30D2"/>
    <w:rsid w:val="00CC602E"/>
    <w:rsid w:val="00D12183"/>
    <w:rsid w:val="00D131F7"/>
    <w:rsid w:val="00D15E4E"/>
    <w:rsid w:val="00D3602F"/>
    <w:rsid w:val="00D4234B"/>
    <w:rsid w:val="00D42C79"/>
    <w:rsid w:val="00D64F70"/>
    <w:rsid w:val="00DA7447"/>
    <w:rsid w:val="00DD0469"/>
    <w:rsid w:val="00DD51CC"/>
    <w:rsid w:val="00DF5847"/>
    <w:rsid w:val="00E026E7"/>
    <w:rsid w:val="00E377B7"/>
    <w:rsid w:val="00E5591F"/>
    <w:rsid w:val="00E909AE"/>
    <w:rsid w:val="00E918A0"/>
    <w:rsid w:val="00ED6B7C"/>
    <w:rsid w:val="00F1696F"/>
    <w:rsid w:val="00F33470"/>
    <w:rsid w:val="00F96B00"/>
    <w:rsid w:val="00FD4961"/>
    <w:rsid w:val="00F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914BD"/>
    <w:rPr>
      <w:rFonts w:ascii="Calibri" w:eastAsia="Calibri" w:hAnsi="Calibri" w:cs="Calibri"/>
      <w:lang w:eastAsia="el-GR" w:bidi="el-G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4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14BD"/>
    <w:rPr>
      <w:b/>
      <w:bCs/>
      <w:sz w:val="60"/>
      <w:szCs w:val="60"/>
      <w:u w:val="single" w:color="000000"/>
    </w:rPr>
  </w:style>
  <w:style w:type="paragraph" w:styleId="Akapitzlist">
    <w:name w:val="List Paragraph"/>
    <w:basedOn w:val="Normalny"/>
    <w:uiPriority w:val="99"/>
    <w:qFormat/>
    <w:rsid w:val="000914BD"/>
  </w:style>
  <w:style w:type="paragraph" w:customStyle="1" w:styleId="TableParagraph">
    <w:name w:val="Table Paragraph"/>
    <w:basedOn w:val="Normalny"/>
    <w:uiPriority w:val="1"/>
    <w:qFormat/>
    <w:rsid w:val="000914BD"/>
  </w:style>
  <w:style w:type="paragraph" w:styleId="Nagwek">
    <w:name w:val="header"/>
    <w:basedOn w:val="Normalny"/>
    <w:link w:val="NagwekZnak"/>
    <w:uiPriority w:val="99"/>
    <w:unhideWhenUsed/>
    <w:rsid w:val="00FD4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961"/>
    <w:rPr>
      <w:rFonts w:ascii="Calibri" w:eastAsia="Calibri" w:hAnsi="Calibri" w:cs="Calibri"/>
      <w:lang w:eastAsia="el-GR" w:bidi="el-GR"/>
    </w:rPr>
  </w:style>
  <w:style w:type="paragraph" w:styleId="Stopka">
    <w:name w:val="footer"/>
    <w:basedOn w:val="Normalny"/>
    <w:link w:val="StopkaZnak"/>
    <w:uiPriority w:val="99"/>
    <w:unhideWhenUsed/>
    <w:rsid w:val="00FD4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961"/>
    <w:rPr>
      <w:rFonts w:ascii="Calibri" w:eastAsia="Calibri" w:hAnsi="Calibri" w:cs="Calibri"/>
      <w:lang w:eastAsia="el-GR" w:bidi="el-GR"/>
    </w:rPr>
  </w:style>
  <w:style w:type="character" w:customStyle="1" w:styleId="tlid-translation">
    <w:name w:val="tlid-translation"/>
    <w:basedOn w:val="Domylnaczcionkaakapitu"/>
    <w:rsid w:val="00342484"/>
  </w:style>
  <w:style w:type="character" w:styleId="Hipercze">
    <w:name w:val="Hyperlink"/>
    <w:basedOn w:val="Domylnaczcionkaakapitu"/>
    <w:uiPriority w:val="99"/>
    <w:unhideWhenUsed/>
    <w:rsid w:val="00380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Draft 31 August 2015</dc:subject>
  <dc:creator>Justin Synnott</dc:creator>
  <cp:lastModifiedBy>HP</cp:lastModifiedBy>
  <cp:revision>18</cp:revision>
  <dcterms:created xsi:type="dcterms:W3CDTF">2018-11-30T07:12:00Z</dcterms:created>
  <dcterms:modified xsi:type="dcterms:W3CDTF">2019-03-08T11:22:00Z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2018-11-23T00:00:00Z</vt:filetime>
  </property>
</Properties>
</file>